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25.04.2024г.</w:t>
      </w:r>
      <w:r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61/188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20176,2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21855,8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2025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1679,6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25.04.2024 № 61/188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>
      <w:pPr>
        <w:jc w:val="center"/>
        <w:rPr>
          <w:b/>
          <w:sz w:val="28"/>
          <w:szCs w:val="28"/>
        </w:rPr>
      </w:pPr>
    </w:p>
    <w:p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11460,7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20176,2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25.04.2024 № 61/188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>
      <w:pPr>
        <w:jc w:val="right"/>
      </w:pPr>
      <w: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21855,8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6558,7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4464,5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2778,2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2778,2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Глава Новопетровского сельского поселения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Павловского района          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25.04.2024 № 61/188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21855,8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25.04.2024 № 61/188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21855,8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6558,7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4054,3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4054,3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4464,5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25.04.2024 № 61/188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-20176,2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-20176,2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-20176,2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4E875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autoRedefine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autoRedefine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autoRedefine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autoRedefine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autoRedefine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autoRedefine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5BF8-C93B-49A1-AB4D-DE33F02FE6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6913</Words>
  <Characters>39406</Characters>
  <Lines>328</Lines>
  <Paragraphs>92</Paragraphs>
  <TotalTime>8530</TotalTime>
  <ScaleCrop>false</ScaleCrop>
  <LinksUpToDate>false</LinksUpToDate>
  <CharactersWithSpaces>46227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2024-04-26T04:34:57Z</cp:lastPrinted>
  <dcterms:modified xsi:type="dcterms:W3CDTF">2024-04-26T04:35:22Z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EAF353611CC540C1BFC4CB9A1CA2C448_12</vt:lpwstr>
  </property>
</Properties>
</file>