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286BC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kern w:val="0"/>
          <w:sz w:val="36"/>
          <w:szCs w:val="20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:lang w:eastAsia="ru-RU"/>
          <w14:ligatures w14:val="none"/>
        </w:rPr>
        <w:drawing>
          <wp:inline distT="0" distB="0" distL="0" distR="0">
            <wp:extent cx="530225" cy="668655"/>
            <wp:effectExtent l="0" t="0" r="3175" b="0"/>
            <wp:docPr id="1" name="Рисунок 1" descr="Новопетровское СП Павловский р-н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Новопетровское СП Павловский р-н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0225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C7AB4B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kern w:val="0"/>
          <w:sz w:val="36"/>
          <w:szCs w:val="20"/>
          <w:lang w:eastAsia="ru-RU"/>
          <w14:ligatures w14:val="none"/>
        </w:rPr>
      </w:pPr>
    </w:p>
    <w:p w14:paraId="140343A6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kern w:val="0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32"/>
          <w:szCs w:val="32"/>
          <w:lang w:eastAsia="ru-RU"/>
          <w14:ligatures w14:val="none"/>
        </w:rPr>
        <w:t>АДМИНИСТРАЦИЯ НОВОПЕТРОВСКОГО СЕЛЬСКОГО ПОСЕЛЕНИЯ ПАВЛОВСКИЙ РАЙОН</w:t>
      </w:r>
    </w:p>
    <w:p w14:paraId="5C470441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kern w:val="0"/>
          <w:sz w:val="32"/>
          <w:szCs w:val="32"/>
          <w:lang w:eastAsia="ru-RU"/>
          <w14:ligatures w14:val="none"/>
        </w:rPr>
      </w:pPr>
    </w:p>
    <w:p w14:paraId="2B7B205C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kern w:val="0"/>
          <w:sz w:val="32"/>
          <w:szCs w:val="32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32"/>
          <w:szCs w:val="32"/>
          <w:lang w:eastAsia="ru-RU"/>
          <w14:ligatures w14:val="none"/>
        </w:rPr>
        <w:t>РАСПОРЯЖЕНИЕ</w:t>
      </w:r>
    </w:p>
    <w:p w14:paraId="2D952EBB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sz w:val="28"/>
          <w:szCs w:val="20"/>
          <w:lang w:eastAsia="ru-RU"/>
          <w14:ligatures w14:val="none"/>
        </w:rPr>
      </w:pPr>
    </w:p>
    <w:p w14:paraId="4F2E9672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A75ADD0">
      <w:pPr>
        <w:spacing w:after="0" w:line="240" w:lineRule="auto"/>
        <w:rPr>
          <w:rFonts w:hint="default" w:ascii="Times New Roman" w:hAnsi="Times New Roman" w:eastAsia="Times New Roman" w:cs="Times New Roman"/>
          <w:kern w:val="0"/>
          <w:sz w:val="28"/>
          <w:szCs w:val="28"/>
          <w:lang w:val="en-US"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 xml:space="preserve">от </w:t>
      </w:r>
      <w:r>
        <w:rPr>
          <w:rFonts w:hint="default" w:ascii="Times New Roman" w:hAnsi="Times New Roman" w:eastAsia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09.01.2025год     </w:t>
      </w: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</w:t>
      </w:r>
      <w:r>
        <w:rPr>
          <w:rFonts w:hint="default" w:ascii="Times New Roman" w:hAnsi="Times New Roman" w:eastAsia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   </w:t>
      </w:r>
      <w:bookmarkStart w:id="0" w:name="_GoBack"/>
      <w:bookmarkEnd w:id="0"/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 xml:space="preserve">   №</w:t>
      </w:r>
      <w:r>
        <w:rPr>
          <w:rFonts w:hint="default" w:ascii="Times New Roman" w:hAnsi="Times New Roman" w:eastAsia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 1-р</w:t>
      </w:r>
    </w:p>
    <w:p w14:paraId="25AB5B3D">
      <w:pPr>
        <w:spacing w:after="0" w:line="240" w:lineRule="auto"/>
        <w:ind w:firstLine="3780" w:firstLineChars="1350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32F0C59">
      <w:pPr>
        <w:spacing w:after="0" w:line="240" w:lineRule="auto"/>
        <w:ind w:firstLine="3780" w:firstLineChars="1350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ст-ца Новопетровская</w:t>
      </w:r>
    </w:p>
    <w:p w14:paraId="6B06D1AA">
      <w:pPr>
        <w:spacing w:after="0" w:line="240" w:lineRule="auto"/>
        <w:jc w:val="center"/>
        <w:rPr>
          <w:rFonts w:ascii="Times New Roman" w:hAnsi="Times New Roman" w:eastAsia="Calibri" w:cs="Times New Roman"/>
          <w:b/>
          <w:kern w:val="0"/>
          <w:sz w:val="28"/>
          <w:szCs w:val="28"/>
          <w14:ligatures w14:val="none"/>
        </w:rPr>
      </w:pPr>
    </w:p>
    <w:p w14:paraId="7FA65F7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О сроках представления годовой отчётности об исполнении бюджета Новопетровского сельского поселения и сводной годовой бухгалтерской отчётности   бюджетных и автономных учреждений за 2024 год и утверждении состава и сроков представления квартальной и месячной отчётности в 2025 году </w:t>
      </w:r>
    </w:p>
    <w:p w14:paraId="2CA94A0C">
      <w:pPr>
        <w:spacing w:after="0" w:line="240" w:lineRule="auto"/>
        <w:jc w:val="center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A611A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В соответствии со статьей 264.3 Бюджетного кодекса Российской Федерации, пунктом 298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г.  №191н «Об утверждении Инструкции  о порядке составления и представления годовой, квартальной и месячной отчетности об исполнении бюджетов бюджетной системы Российской Федерации»и приказа Министерства финансов Краснодарского края  от  27 декабря 2024 г. № 458«О составлении и сроках представления годовой отчетности об исполнении консолидированного бюджета Краснодарского края, бюджета Территориального фонда обязательного медицинского страхования Краснодарского края и годовой консолидированной бухгалтерской отчетности государственных (муниципальных) бюджетных и автономных учреждений Краснодарского края за 2024 год и утверждении состава и сроков представления квартальной, месячной отчетности в 2025году»,  в целях составления годовой отчетности об исполнении консолидированного бюджета Новопетровского поселения:</w:t>
      </w:r>
    </w:p>
    <w:p w14:paraId="1A4AB566">
      <w:pPr>
        <w:tabs>
          <w:tab w:val="left" w:pos="851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1. Определить порядок составления и перечень форм годовой, кварталь</w:t>
      </w: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softHyphen/>
      </w: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 xml:space="preserve">ной и месячной бюджетной отчетности и бухгалтерской отчетности в соответствии с требованиями: </w:t>
      </w:r>
    </w:p>
    <w:p w14:paraId="3F1DD881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приказа Министерства финансов Российской Федерации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Инструкция 191н) – для участников бюджетного процесса;</w:t>
      </w:r>
    </w:p>
    <w:p w14:paraId="7707AD85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приказа Министерства финансов Российской Федерацииот25 марта 2011 г.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(далее – Инструк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softHyphen/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ция 33н) </w:t>
      </w: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 xml:space="preserve">– для </w:t>
      </w:r>
      <w:r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  <w:t>государственных (муниципальных) бюджетных и автономных учреждений</w:t>
      </w: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7C98AD4A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приказа Министерства финансов Российской Федерации от 31 декабря 2016 г. № 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сектора»;</w:t>
      </w:r>
    </w:p>
    <w:p w14:paraId="083CF855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приказа Министерства финансов Российской Федерации от 31 декабря 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отчетности»;</w:t>
      </w:r>
    </w:p>
    <w:p w14:paraId="260F7F84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приказа Министерства финансов Российской Федерации от 30 октября 2020 г. № 255н «Об утверждении федерального стандарта бухгалтерского учета государственных финансов «Консолидированная бухгалтерская (финансовая) отчетности»;</w:t>
      </w:r>
    </w:p>
    <w:p w14:paraId="3B9BABF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письма Министерства финансов Российской Федерации от 27 августа 2024 г. № 06-02-05/80986 об актуализации справочной таблицы по форме 0503387 «Справочная таблица к отчету об исполнении консолидированного бюджета субъекта Российской Федерации» с порядком заполнения.</w:t>
      </w:r>
    </w:p>
    <w:p w14:paraId="5E21FC3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2. Утвердить:</w:t>
      </w:r>
    </w:p>
    <w:p w14:paraId="58D6057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сроки представления в электронном виде годовой бюджетной отчетности и бухгалтерской отчетности (приложение1);</w:t>
      </w:r>
    </w:p>
    <w:p w14:paraId="259BF874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контрольный лист закрепления ответственных специалистов финансового управления по принятию годовой бюджетной отчетности и пояснительной записки об исполнении консолидированного бюджета Павловского района за 2024 г. согласно приказу Министерства финансов Российской Федерации от 28 декабря 2010 г. № 191н «Об утверждении Инструкции о порядке составления и представления годовой, квартальной и месячной бюджетной отчетности об исполнении бюджетов бюджетной системы Российской Федерации» (приложение 2);</w:t>
      </w:r>
    </w:p>
    <w:p w14:paraId="6B972E4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контрольный лист закрепления ответственных специалистов финансового управления по принятию годовой бухгалтерской отчетности и пояснительной записки от главных распорядителей бюджетных средств и сельских поселений  за 2024 г. в соответствии с приказом Министерства финансов Российской Федерации от 25 марта 2011 г.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(приложение 3);</w:t>
      </w:r>
    </w:p>
    <w:p w14:paraId="21D7B6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pacing w:val="-6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 xml:space="preserve">акт </w:t>
      </w:r>
      <w:r>
        <w:rPr>
          <w:rFonts w:ascii="Times New Roman" w:hAnsi="Times New Roman" w:eastAsia="Times New Roman" w:cs="Times New Roman"/>
          <w:color w:val="000000"/>
          <w:spacing w:val="-6"/>
          <w:kern w:val="0"/>
          <w:sz w:val="28"/>
          <w:szCs w:val="28"/>
          <w:lang w:eastAsia="ru-RU"/>
          <w14:ligatures w14:val="none"/>
        </w:rPr>
        <w:t>сверки расчетов по долговым обязательствам муниципальных образо</w:t>
      </w:r>
      <w:r>
        <w:rPr>
          <w:rFonts w:ascii="Times New Roman" w:hAnsi="Times New Roman" w:eastAsia="Times New Roman" w:cs="Times New Roman"/>
          <w:color w:val="000000"/>
          <w:spacing w:val="-6"/>
          <w:kern w:val="0"/>
          <w:sz w:val="28"/>
          <w:szCs w:val="28"/>
          <w:lang w:eastAsia="ru-RU"/>
          <w14:ligatures w14:val="none"/>
        </w:rPr>
        <w:softHyphen/>
      </w:r>
      <w:r>
        <w:rPr>
          <w:rFonts w:ascii="Times New Roman" w:hAnsi="Times New Roman" w:eastAsia="Times New Roman" w:cs="Times New Roman"/>
          <w:color w:val="000000"/>
          <w:spacing w:val="-6"/>
          <w:kern w:val="0"/>
          <w:sz w:val="28"/>
          <w:szCs w:val="28"/>
          <w:lang w:eastAsia="ru-RU"/>
          <w14:ligatures w14:val="none"/>
        </w:rPr>
        <w:t>ваний перед муниципальным образованием Павловский район и органами местного самоуправления сельских поселений (приложение 4);</w:t>
      </w:r>
    </w:p>
    <w:p w14:paraId="6B90BD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pacing w:val="-6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pacing w:val="-6"/>
          <w:kern w:val="0"/>
          <w:sz w:val="28"/>
          <w:szCs w:val="28"/>
          <w:lang w:eastAsia="ru-RU"/>
          <w14:ligatures w14:val="none"/>
        </w:rPr>
        <w:t>ведомость учета невыясненных поступлений (приложение 5).</w:t>
      </w:r>
    </w:p>
    <w:p w14:paraId="19D2133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2. Установить сроки представления квартальной бюджетной отчетности и сводной бухгалтерской отчетности муниципальных бюджетных и автономных учреждений администрациями сельских поселений и главными распорядителями бюджетных средств в 2025 году согласно приложению6 к настоящему распоряжению.</w:t>
      </w:r>
    </w:p>
    <w:p w14:paraId="2B37FDE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3.Установить сроки представления месячной бюджетной отчетности и сводной бухгалтерской отчетности муниципальных бюджетных и автономных учреждений администрациями сельских поселений и главными распорядителями бюджетных средств в 2025 году согласно приложению 7 к настоящему распоряжению.</w:t>
      </w:r>
    </w:p>
    <w:p w14:paraId="1E151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 xml:space="preserve">4. 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Формирование формы 0503324К «Отчет об использовании межбюд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softHyphen/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жетных трансфер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softHyphen/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тов из бюджета Краснодарского края муниципальными обра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softHyphen/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зованиями и терри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softHyphen/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ториальным государственным внебюджетным фондом» осу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softHyphen/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ществляется без заполнения графы 5 «ОКТМО контрагента».</w:t>
      </w:r>
    </w:p>
    <w:p w14:paraId="294DB3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Calibri" w:cs="Times New Roman"/>
          <w:color w:val="000000"/>
          <w:kern w:val="0"/>
          <w:sz w:val="28"/>
          <w:szCs w:val="28"/>
          <w14:ligatures w14:val="none"/>
        </w:rPr>
        <w:t>В разделе 3 «Анализ причин образования остатков целевых средств»формы 0503324Кпо состоянию на 1 января 2025 г.в графах 5 и 6 отражаются соот</w:t>
      </w:r>
      <w:r>
        <w:rPr>
          <w:rFonts w:ascii="Times New Roman" w:hAnsi="Times New Roman" w:eastAsia="Calibri" w:cs="Times New Roman"/>
          <w:color w:val="000000"/>
          <w:kern w:val="0"/>
          <w:sz w:val="28"/>
          <w:szCs w:val="28"/>
          <w14:ligatures w14:val="none"/>
        </w:rPr>
        <w:softHyphen/>
      </w:r>
      <w:r>
        <w:rPr>
          <w:rFonts w:ascii="Times New Roman" w:hAnsi="Times New Roman" w:eastAsia="Calibri" w:cs="Times New Roman"/>
          <w:color w:val="000000"/>
          <w:kern w:val="0"/>
          <w:sz w:val="28"/>
          <w:szCs w:val="28"/>
          <w14:ligatures w14:val="none"/>
        </w:rPr>
        <w:t>ветственно код и наименование причины образования остатка межбюджет</w:t>
      </w:r>
      <w:r>
        <w:rPr>
          <w:rFonts w:ascii="Times New Roman" w:hAnsi="Times New Roman" w:eastAsia="Calibri" w:cs="Times New Roman"/>
          <w:color w:val="000000"/>
          <w:kern w:val="0"/>
          <w:sz w:val="28"/>
          <w:szCs w:val="28"/>
          <w14:ligatures w14:val="none"/>
        </w:rPr>
        <w:softHyphen/>
      </w:r>
      <w:r>
        <w:rPr>
          <w:rFonts w:ascii="Times New Roman" w:hAnsi="Times New Roman" w:eastAsia="Calibri" w:cs="Times New Roman"/>
          <w:color w:val="000000"/>
          <w:kern w:val="0"/>
          <w:sz w:val="28"/>
          <w:szCs w:val="28"/>
          <w14:ligatures w14:val="none"/>
        </w:rPr>
        <w:t>ных трансфертов, полученных из бюджета Краснодарского края в форме субси</w:t>
      </w:r>
      <w:r>
        <w:rPr>
          <w:rFonts w:ascii="Times New Roman" w:hAnsi="Times New Roman" w:eastAsia="Calibri" w:cs="Times New Roman"/>
          <w:color w:val="000000"/>
          <w:kern w:val="0"/>
          <w:sz w:val="28"/>
          <w:szCs w:val="28"/>
          <w14:ligatures w14:val="none"/>
        </w:rPr>
        <w:softHyphen/>
      </w:r>
      <w:r>
        <w:rPr>
          <w:rFonts w:ascii="Times New Roman" w:hAnsi="Times New Roman" w:eastAsia="Calibri" w:cs="Times New Roman"/>
          <w:color w:val="000000"/>
          <w:kern w:val="0"/>
          <w:sz w:val="28"/>
          <w:szCs w:val="28"/>
          <w14:ligatures w14:val="none"/>
        </w:rPr>
        <w:t>дий, субвенций и иных межбюджетных трансфертов, имеющих целевое назна</w:t>
      </w:r>
      <w:r>
        <w:rPr>
          <w:rFonts w:ascii="Times New Roman" w:hAnsi="Times New Roman" w:eastAsia="Calibri" w:cs="Times New Roman"/>
          <w:color w:val="000000"/>
          <w:kern w:val="0"/>
          <w:sz w:val="28"/>
          <w:szCs w:val="28"/>
          <w14:ligatures w14:val="none"/>
        </w:rPr>
        <w:softHyphen/>
      </w:r>
      <w:r>
        <w:rPr>
          <w:rFonts w:ascii="Times New Roman" w:hAnsi="Times New Roman" w:eastAsia="Calibri" w:cs="Times New Roman"/>
          <w:color w:val="000000"/>
          <w:kern w:val="0"/>
          <w:sz w:val="28"/>
          <w:szCs w:val="28"/>
          <w14:ligatures w14:val="none"/>
        </w:rPr>
        <w:t>чение (далее – целевые средства):</w:t>
      </w:r>
    </w:p>
    <w:p w14:paraId="24DB83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Calibri" w:cs="Times New Roman"/>
          <w:color w:val="000000"/>
          <w:kern w:val="0"/>
          <w:sz w:val="28"/>
          <w:szCs w:val="28"/>
          <w14:ligatures w14:val="none"/>
        </w:rPr>
        <w:t>01 – уменьшение фактической численности получателей средств по срав</w:t>
      </w:r>
      <w:r>
        <w:rPr>
          <w:rFonts w:ascii="Times New Roman" w:hAnsi="Times New Roman" w:eastAsia="Calibri" w:cs="Times New Roman"/>
          <w:color w:val="000000"/>
          <w:kern w:val="0"/>
          <w:sz w:val="28"/>
          <w:szCs w:val="28"/>
          <w14:ligatures w14:val="none"/>
        </w:rPr>
        <w:softHyphen/>
      </w:r>
      <w:r>
        <w:rPr>
          <w:rFonts w:ascii="Times New Roman" w:hAnsi="Times New Roman" w:eastAsia="Calibri" w:cs="Times New Roman"/>
          <w:color w:val="000000"/>
          <w:kern w:val="0"/>
          <w:sz w:val="28"/>
          <w:szCs w:val="28"/>
          <w14:ligatures w14:val="none"/>
        </w:rPr>
        <w:t>нению с запланированной;</w:t>
      </w:r>
    </w:p>
    <w:p w14:paraId="1447B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Calibri" w:cs="Times New Roman"/>
          <w:color w:val="000000"/>
          <w:kern w:val="0"/>
          <w:sz w:val="28"/>
          <w:szCs w:val="28"/>
          <w14:ligatures w14:val="none"/>
        </w:rPr>
        <w:t>02 – экономия, сложившаяся в результате оптимизации цены поставки то</w:t>
      </w:r>
      <w:r>
        <w:rPr>
          <w:rFonts w:ascii="Times New Roman" w:hAnsi="Times New Roman" w:eastAsia="Calibri" w:cs="Times New Roman"/>
          <w:color w:val="000000"/>
          <w:kern w:val="0"/>
          <w:sz w:val="28"/>
          <w:szCs w:val="28"/>
          <w14:ligatures w14:val="none"/>
        </w:rPr>
        <w:softHyphen/>
      </w:r>
      <w:r>
        <w:rPr>
          <w:rFonts w:ascii="Times New Roman" w:hAnsi="Times New Roman" w:eastAsia="Calibri" w:cs="Times New Roman"/>
          <w:color w:val="000000"/>
          <w:kern w:val="0"/>
          <w:sz w:val="28"/>
          <w:szCs w:val="28"/>
          <w14:ligatures w14:val="none"/>
        </w:rPr>
        <w:t>варов, выполнения работ (оказания услуг) по итогам проведения конкурсных процедур;</w:t>
      </w:r>
    </w:p>
    <w:p w14:paraId="1F45F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Calibri" w:cs="Times New Roman"/>
          <w:color w:val="000000"/>
          <w:kern w:val="0"/>
          <w:sz w:val="28"/>
          <w:szCs w:val="28"/>
          <w14:ligatures w14:val="none"/>
        </w:rPr>
        <w:t>03 – поступление от возврата остатков, образовавшихся за счет восста</w:t>
      </w:r>
      <w:r>
        <w:rPr>
          <w:rFonts w:ascii="Times New Roman" w:hAnsi="Times New Roman" w:eastAsia="Calibri" w:cs="Times New Roman"/>
          <w:color w:val="000000"/>
          <w:kern w:val="0"/>
          <w:sz w:val="28"/>
          <w:szCs w:val="28"/>
          <w14:ligatures w14:val="none"/>
        </w:rPr>
        <w:softHyphen/>
      </w:r>
      <w:r>
        <w:rPr>
          <w:rFonts w:ascii="Times New Roman" w:hAnsi="Times New Roman" w:eastAsia="Calibri" w:cs="Times New Roman"/>
          <w:color w:val="000000"/>
          <w:kern w:val="0"/>
          <w:sz w:val="28"/>
          <w:szCs w:val="28"/>
          <w14:ligatures w14:val="none"/>
        </w:rPr>
        <w:t>новленной в текущем году дебиторской задолженности прошлых лет;</w:t>
      </w:r>
    </w:p>
    <w:p w14:paraId="597688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04 – иные причины, не отнесенные к причинам 01 – 03.</w:t>
      </w:r>
    </w:p>
    <w:p w14:paraId="336EC7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Раздел 3 «Анализ причин образования остатков целевых средств» формы 0503324Кпо состоянию на 1 апреля 2025 г., 1 июля 2025 г., 1 октября 2025 г. не заполняется. </w:t>
      </w:r>
    </w:p>
    <w:p w14:paraId="3BEA7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Детальное описание причин образования остатка целевых средств указы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softHyphen/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вается в текстовой части ф. 0503160 «Пояснительная записка</w:t>
      </w: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»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1AD89826">
      <w:pPr>
        <w:numPr>
          <w:ilvl w:val="0"/>
          <w:numId w:val="1"/>
        </w:numPr>
        <w:ind w:firstLine="708"/>
        <w:jc w:val="both"/>
        <w:rPr>
          <w:rFonts w:ascii="Times New Roman" w:hAnsi="Times New Roman" w:eastAsia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Признать утратившим силу распоряжение администрации муниципального образования Павловский район от 09 января 2023 г. № 1-р «</w:t>
      </w:r>
      <w:r>
        <w:rPr>
          <w:rFonts w:ascii="Times New Roman" w:hAnsi="Times New Roman" w:eastAsia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О сроках представления годовой отчётности об исполнении бюджета Новопетровского сельского поселения и сводной годовой бухгалтерской отчётности   бюджетных и автономных учреждений за 2023 год и </w:t>
      </w:r>
    </w:p>
    <w:p w14:paraId="2D8CBFAD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 w:eastAsia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утверждении состава и сроков представления квартальной и месячной отчётности в 2024 году» </w:t>
      </w:r>
    </w:p>
    <w:p w14:paraId="541010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kern w:val="0"/>
          <w:sz w:val="28"/>
          <w:szCs w:val="28"/>
          <w:lang w:eastAsia="ru-RU" w:bidi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 xml:space="preserve">6. </w:t>
      </w:r>
      <w:r>
        <w:rPr>
          <w:rFonts w:ascii="Times New Roman" w:hAnsi="Times New Roman" w:eastAsia="Arial Unicode MS" w:cs="Times New Roman"/>
          <w:color w:val="000000"/>
          <w:kern w:val="0"/>
          <w:sz w:val="26"/>
          <w:szCs w:val="26"/>
          <w:lang w:eastAsia="ru-RU" w:bidi="ru-RU"/>
          <w14:ligatures w14:val="none"/>
        </w:rPr>
        <w:t>Сводные формы отчетности в автоматизированной системе «WEB -</w:t>
      </w: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 xml:space="preserve"> консолидация», представленные главными распорядителями бюджетных средств и сельскими поселениями, должны соответствовать сводным отчетам с уровня муниципального учреждения, находящимся в статусе «Принят». </w:t>
      </w: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 w:bidi="ru-RU"/>
          <w14:ligatures w14:val="none"/>
        </w:rPr>
        <w:t>К рассмотрению и анализу принимаются формы в статусе «На проверке», прошедшие внутриформенную и межформенную проверку контрольных соотношений и подписанные всеми электронными подписями, предусмотренными формой с уровня учреждений.</w:t>
      </w:r>
    </w:p>
    <w:p w14:paraId="31700135">
      <w:pPr>
        <w:spacing w:after="0" w:line="240" w:lineRule="auto"/>
        <w:ind w:firstLine="705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>7. Контроль за выполнением настоящего распоряжения оставляю за собой.</w:t>
      </w:r>
    </w:p>
    <w:p w14:paraId="30EB17D6">
      <w:pPr>
        <w:spacing w:after="0" w:line="240" w:lineRule="auto"/>
        <w:jc w:val="both"/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8"/>
          <w:lang w:eastAsia="ru-RU"/>
          <w14:ligatures w14:val="none"/>
        </w:rPr>
        <w:t xml:space="preserve">8. Распоряжение вступает в силу со дня его подписания и распространяет свои действия на правоотношения с 1 января 2025 года. </w:t>
      </w:r>
    </w:p>
    <w:p w14:paraId="473B7C56"/>
    <w:p w14:paraId="60804845"/>
    <w:p w14:paraId="18DE2874"/>
    <w:p w14:paraId="4D3412EF"/>
    <w:p w14:paraId="5F9AE3B1">
      <w:pPr>
        <w:spacing w:after="0" w:line="240" w:lineRule="auto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  <w:t>Глава Новопетровского сельского поселения</w:t>
      </w:r>
    </w:p>
    <w:p w14:paraId="541DF423">
      <w:pPr>
        <w:spacing w:after="0" w:line="240" w:lineRule="auto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  <w:t xml:space="preserve">Павловского района    </w:t>
      </w:r>
      <w:r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  <w:tab/>
      </w:r>
      <w:r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  <w:tab/>
      </w:r>
      <w:r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  <w:tab/>
      </w:r>
      <w:r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  <w:tab/>
      </w:r>
      <w:r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  <w:tab/>
      </w:r>
      <w:r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  <w:tab/>
      </w:r>
      <w:r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  <w:t xml:space="preserve">                  Е.А. Бессонов</w:t>
      </w:r>
    </w:p>
    <w:p w14:paraId="1C2BBFB4">
      <w:pPr>
        <w:spacing w:after="0" w:line="240" w:lineRule="auto"/>
        <w:rPr>
          <w:rFonts w:ascii="Times New Roman" w:hAnsi="Times New Roman" w:eastAsia="Calibri" w:cs="Times New Roman"/>
          <w:kern w:val="0"/>
          <w:sz w:val="28"/>
          <w:szCs w:val="28"/>
          <w14:ligatures w14:val="none"/>
        </w:rPr>
      </w:pPr>
    </w:p>
    <w:p w14:paraId="324D6EA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92310F"/>
    <w:multiLevelType w:val="singleLevel"/>
    <w:tmpl w:val="3B92310F"/>
    <w:lvl w:ilvl="0" w:tentative="0">
      <w:start w:val="5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44C"/>
    <w:rsid w:val="001D244C"/>
    <w:rsid w:val="00995AB8"/>
    <w:rsid w:val="00B5358C"/>
    <w:rsid w:val="00BB416C"/>
    <w:rsid w:val="00BF16C2"/>
    <w:rsid w:val="00D25F16"/>
    <w:rsid w:val="3C67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4">
    <w:name w:val="Subtitle"/>
    <w:basedOn w:val="1"/>
    <w:next w:val="1"/>
    <w:link w:val="2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5">
    <w:name w:val="Заголовок 1 Знак"/>
    <w:basedOn w:val="11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6">
    <w:name w:val="Заголовок 2 Знак"/>
    <w:basedOn w:val="11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7">
    <w:name w:val="Заголовок 3 Знак"/>
    <w:basedOn w:val="11"/>
    <w:link w:val="4"/>
    <w:semiHidden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8">
    <w:name w:val="Заголовок 4 Знак"/>
    <w:basedOn w:val="11"/>
    <w:link w:val="5"/>
    <w:semiHidden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19">
    <w:name w:val="Заголовок 5 Знак"/>
    <w:basedOn w:val="11"/>
    <w:link w:val="6"/>
    <w:semiHidden/>
    <w:uiPriority w:val="9"/>
    <w:rPr>
      <w:rFonts w:eastAsiaTheme="majorEastAsia" w:cstheme="majorBidi"/>
      <w:color w:val="2F5597" w:themeColor="accent1" w:themeShade="BF"/>
    </w:rPr>
  </w:style>
  <w:style w:type="character" w:customStyle="1" w:styleId="20">
    <w:name w:val="Заголовок 6 Знак"/>
    <w:basedOn w:val="11"/>
    <w:link w:val="7"/>
    <w:semiHidden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Заголовок 7 Знак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Заголовок 8 Знак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Заголовок 9 Знак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Заголовок Знак"/>
    <w:basedOn w:val="11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Подзаголовок Знак"/>
    <w:basedOn w:val="11"/>
    <w:link w:val="14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Цитата 2 Знак"/>
    <w:basedOn w:val="11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Выделенная цитата Знак"/>
    <w:basedOn w:val="11"/>
    <w:link w:val="30"/>
    <w:qFormat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1199</Words>
  <Characters>6835</Characters>
  <Lines>56</Lines>
  <Paragraphs>16</Paragraphs>
  <TotalTime>18</TotalTime>
  <ScaleCrop>false</ScaleCrop>
  <LinksUpToDate>false</LinksUpToDate>
  <CharactersWithSpaces>8018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2025-01-13T06:37:00Z</dcterms:created>
  <dc:creator>поселение Новопетровское</dc:creator>
  <cp:lastModifiedBy>пользователь</cp:lastModifiedBy>
  <cp:lastPrinted>2025-01-15T13:01:29Z</cp:lastPrinted>
  <dcterms:modified xsi:type="dcterms:W3CDTF">2025-01-15T13:02:14Z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1445015AA7E640E0AD67938CEA8A7807_12</vt:lpwstr>
  </property>
</Properties>
</file>