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ПАВЛОВСКОГО РАЙОНА</w:t>
      </w: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РЕШЕНИЕ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ru-RU" w:eastAsia="ar-SA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от 22.12.2021г.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                                                                                   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 xml:space="preserve">    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№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28/85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ст. Новопетровская</w:t>
      </w:r>
    </w:p>
    <w:p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  <w:bookmarkStart w:id="0" w:name="_GoBack"/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</w:t>
      </w:r>
      <w:r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 муниципального образования Павловский район</w:t>
      </w:r>
      <w:r>
        <w:rPr>
          <w:rFonts w:ascii="Times New Roman" w:hAnsi="Times New Roman"/>
          <w:b/>
          <w:sz w:val="28"/>
          <w:szCs w:val="28"/>
        </w:rPr>
        <w:t xml:space="preserve">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Новопетровского сельского поселения Павловского района по осуществлению внешнего муниципального финансового контроля 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b/>
          <w:sz w:val="28"/>
          <w:szCs w:val="28"/>
        </w:rPr>
        <w:t>на 2022 год</w:t>
      </w:r>
    </w:p>
    <w:bookmarkEnd w:id="0"/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Новопетровского сельского поселения Павловского района, Совет Новопетровского сельского поселения Павловского района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>
        <w:rPr>
          <w:rFonts w:ascii="Times New Roman" w:hAnsi="Times New Roman"/>
          <w:sz w:val="28"/>
          <w:szCs w:val="28"/>
        </w:rPr>
        <w:t xml:space="preserve"> осуществление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 по осуществлению внешнего муниципального финансового контроля 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2022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Советом муниципального образования Павловский район о передаче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 о передаче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осуществлению внешнего муниципального финансового контроля и передаче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 xml:space="preserve">на 2022 год.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2022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(Земляная).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подписания.</w:t>
      </w: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D4EFC"/>
    <w:rsid w:val="004F5E1E"/>
    <w:rsid w:val="00517A79"/>
    <w:rsid w:val="00570F69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139A9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5782"/>
    <w:rsid w:val="00AE503D"/>
    <w:rsid w:val="00AE5AF4"/>
    <w:rsid w:val="00AF6FD9"/>
    <w:rsid w:val="00B05EFF"/>
    <w:rsid w:val="00B5521C"/>
    <w:rsid w:val="00B55EAC"/>
    <w:rsid w:val="00B76574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E350A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  <w:rsid w:val="71B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Основной текст Знак"/>
    <w:basedOn w:val="2"/>
    <w:link w:val="5"/>
    <w:qFormat/>
    <w:uiPriority w:val="0"/>
    <w:rPr>
      <w:rFonts w:ascii="Times New Roman" w:hAnsi="Times New Roman" w:eastAsia="Times New Roman"/>
      <w:sz w:val="28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24EF6-4A9F-4E8E-8DA4-5CC252796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 Win&amp;Soft</Company>
  <Pages>1</Pages>
  <Words>424</Words>
  <Characters>2419</Characters>
  <Lines>20</Lines>
  <Paragraphs>5</Paragraphs>
  <TotalTime>231</TotalTime>
  <ScaleCrop>false</ScaleCrop>
  <LinksUpToDate>false</LinksUpToDate>
  <CharactersWithSpaces>2838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Общий</cp:lastModifiedBy>
  <cp:lastPrinted>2021-12-22T10:47:25Z</cp:lastPrinted>
  <dcterms:modified xsi:type="dcterms:W3CDTF">2021-12-22T10:53:56Z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A8B0D51E4ABA4FE297191CB0F20B222C</vt:lpwstr>
  </property>
</Properties>
</file>