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6B" w:rsidRPr="005A7D5F" w:rsidRDefault="00E5726B">
      <w:pPr>
        <w:ind w:right="-568"/>
        <w:jc w:val="center"/>
        <w:rPr>
          <w:rFonts w:ascii="Arial" w:hAnsi="Arial"/>
          <w:b/>
          <w:sz w:val="20"/>
        </w:rPr>
      </w:pPr>
    </w:p>
    <w:p w:rsidR="00E5726B" w:rsidRDefault="00E5726B">
      <w:pPr>
        <w:ind w:right="-568"/>
        <w:jc w:val="center"/>
        <w:rPr>
          <w:rFonts w:ascii="Arial" w:hAnsi="Arial"/>
          <w:b/>
          <w:sz w:val="20"/>
        </w:rPr>
      </w:pPr>
    </w:p>
    <w:p w:rsidR="00E5726B" w:rsidRDefault="005A7D5F">
      <w:pPr>
        <w:ind w:right="-568"/>
        <w:rPr>
          <w:rFonts w:ascii="Arial" w:hAnsi="Arial"/>
          <w:b/>
          <w:sz w:val="20"/>
        </w:rPr>
      </w:pPr>
      <w:r>
        <w:rPr>
          <w:b/>
          <w:noProof/>
          <w:color w:val="17365D" w:themeColor="text2" w:themeShade="BF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-22860</wp:posOffset>
            </wp:positionV>
            <wp:extent cx="1000125" cy="106680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26B" w:rsidRDefault="00E5726B">
      <w:pPr>
        <w:ind w:right="-568"/>
        <w:jc w:val="center"/>
        <w:rPr>
          <w:rFonts w:ascii="Arial" w:hAnsi="Arial"/>
          <w:b/>
          <w:sz w:val="20"/>
        </w:rPr>
      </w:pPr>
    </w:p>
    <w:p w:rsidR="00E5726B" w:rsidRDefault="00E5726B">
      <w:pPr>
        <w:ind w:right="-568"/>
        <w:jc w:val="center"/>
        <w:rPr>
          <w:rFonts w:ascii="Arial" w:hAnsi="Arial"/>
          <w:b/>
          <w:sz w:val="20"/>
        </w:rPr>
      </w:pPr>
    </w:p>
    <w:p w:rsidR="00E5726B" w:rsidRDefault="00E5726B">
      <w:pPr>
        <w:ind w:right="-568"/>
        <w:jc w:val="center"/>
        <w:rPr>
          <w:rFonts w:ascii="Arial" w:hAnsi="Arial"/>
          <w:b/>
          <w:sz w:val="20"/>
        </w:rPr>
      </w:pPr>
    </w:p>
    <w:p w:rsidR="00E5726B" w:rsidRDefault="005A7D5F">
      <w:pPr>
        <w:ind w:right="-568"/>
        <w:rPr>
          <w:b/>
          <w:sz w:val="32"/>
          <w:szCs w:val="32"/>
        </w:rPr>
      </w:pPr>
      <w:r>
        <w:rPr>
          <w:b/>
          <w:sz w:val="20"/>
        </w:rPr>
        <w:t xml:space="preserve">                            </w:t>
      </w:r>
      <w:r w:rsidRPr="0029048C">
        <w:rPr>
          <w:b/>
          <w:sz w:val="32"/>
          <w:szCs w:val="32"/>
        </w:rPr>
        <w:t>Уважаемые налогоплательщики!</w:t>
      </w:r>
    </w:p>
    <w:p w:rsidR="0029048C" w:rsidRDefault="0029048C">
      <w:pPr>
        <w:ind w:right="-568"/>
        <w:rPr>
          <w:b/>
          <w:sz w:val="32"/>
          <w:szCs w:val="32"/>
        </w:rPr>
      </w:pPr>
    </w:p>
    <w:p w:rsidR="0029048C" w:rsidRPr="0029048C" w:rsidRDefault="0029048C">
      <w:pPr>
        <w:ind w:right="-568"/>
        <w:rPr>
          <w:b/>
          <w:sz w:val="32"/>
          <w:szCs w:val="32"/>
        </w:rPr>
      </w:pPr>
    </w:p>
    <w:p w:rsidR="00E5726B" w:rsidRPr="0029048C" w:rsidRDefault="005A7D5F">
      <w:pPr>
        <w:ind w:right="-1"/>
        <w:jc w:val="both"/>
        <w:rPr>
          <w:b/>
          <w:sz w:val="20"/>
        </w:rPr>
      </w:pPr>
      <w:bookmarkStart w:id="0" w:name="_GoBack"/>
      <w:bookmarkEnd w:id="0"/>
      <w:r w:rsidRPr="0029048C">
        <w:rPr>
          <w:b/>
          <w:sz w:val="20"/>
        </w:rPr>
        <w:t xml:space="preserve">Перечень государственных услуг </w:t>
      </w:r>
      <w:r w:rsidRPr="0029048C">
        <w:rPr>
          <w:b/>
          <w:sz w:val="20"/>
          <w:u w:val="single"/>
        </w:rPr>
        <w:t>ФНС России</w:t>
      </w:r>
      <w:r w:rsidRPr="0029048C">
        <w:rPr>
          <w:b/>
          <w:sz w:val="20"/>
        </w:rPr>
        <w:t xml:space="preserve">, предоставление которых организуется по принципу "одного окна" в Филиалах ГАУ КК «МФЦ КК» на территории </w:t>
      </w:r>
      <w:proofErr w:type="spellStart"/>
      <w:r w:rsidRPr="0029048C">
        <w:rPr>
          <w:b/>
          <w:sz w:val="20"/>
        </w:rPr>
        <w:t>г</w:t>
      </w:r>
      <w:proofErr w:type="gramStart"/>
      <w:r w:rsidRPr="0029048C">
        <w:rPr>
          <w:b/>
          <w:sz w:val="20"/>
        </w:rPr>
        <w:t>.Т</w:t>
      </w:r>
      <w:proofErr w:type="gramEnd"/>
      <w:r w:rsidRPr="0029048C">
        <w:rPr>
          <w:b/>
          <w:sz w:val="20"/>
        </w:rPr>
        <w:t>ихорецка</w:t>
      </w:r>
      <w:proofErr w:type="spellEnd"/>
      <w:r w:rsidRPr="0029048C">
        <w:rPr>
          <w:b/>
          <w:sz w:val="20"/>
        </w:rPr>
        <w:t xml:space="preserve">, Тихорецкого района, Новопокровского района,  </w:t>
      </w:r>
      <w:proofErr w:type="spellStart"/>
      <w:r w:rsidRPr="0029048C">
        <w:rPr>
          <w:b/>
          <w:sz w:val="20"/>
        </w:rPr>
        <w:t>Белоглинского</w:t>
      </w:r>
      <w:proofErr w:type="spellEnd"/>
      <w:r w:rsidRPr="0029048C">
        <w:rPr>
          <w:b/>
          <w:sz w:val="20"/>
        </w:rPr>
        <w:t xml:space="preserve"> района, </w:t>
      </w:r>
      <w:proofErr w:type="spellStart"/>
      <w:r w:rsidRPr="0029048C">
        <w:rPr>
          <w:b/>
          <w:sz w:val="20"/>
        </w:rPr>
        <w:t>Выселковского</w:t>
      </w:r>
      <w:proofErr w:type="spellEnd"/>
      <w:r w:rsidRPr="0029048C">
        <w:rPr>
          <w:b/>
          <w:sz w:val="20"/>
        </w:rPr>
        <w:t xml:space="preserve"> района, </w:t>
      </w:r>
      <w:r w:rsidRPr="0029048C">
        <w:rPr>
          <w:b/>
          <w:sz w:val="20"/>
          <w:highlight w:val="yellow"/>
        </w:rPr>
        <w:t>Павловского района</w:t>
      </w:r>
      <w:r w:rsidRPr="0029048C">
        <w:rPr>
          <w:b/>
          <w:sz w:val="20"/>
        </w:rPr>
        <w:t>, Крыловского района.</w:t>
      </w:r>
    </w:p>
    <w:p w:rsidR="00E5726B" w:rsidRDefault="00E5726B">
      <w:pPr>
        <w:ind w:right="-1"/>
        <w:jc w:val="center"/>
        <w:rPr>
          <w:rFonts w:ascii="Arial" w:hAnsi="Arial"/>
          <w:b/>
          <w:sz w:val="20"/>
        </w:rPr>
      </w:pPr>
    </w:p>
    <w:p w:rsidR="0029048C" w:rsidRDefault="0029048C">
      <w:pPr>
        <w:ind w:right="-1"/>
        <w:jc w:val="center"/>
        <w:rPr>
          <w:rFonts w:ascii="Arial" w:hAnsi="Arial"/>
          <w:b/>
          <w:sz w:val="20"/>
        </w:rPr>
      </w:pPr>
    </w:p>
    <w:tbl>
      <w:tblPr>
        <w:tblW w:w="0" w:type="auto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214"/>
      </w:tblGrid>
      <w:tr w:rsidR="00E5726B">
        <w:trPr>
          <w:trHeight w:val="4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E5726B">
        <w:trPr>
          <w:trHeight w:val="211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</w:t>
            </w:r>
          </w:p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E5726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E5726B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E5726B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E5726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сведений, содержащихся в государственном адресном реестре</w:t>
            </w:r>
          </w:p>
        </w:tc>
      </w:tr>
      <w:tr w:rsidR="00E5726B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имущество; Прием уведомления о выбранных объектах налогообложения, в отношении которых предоставляется налоговая льгота по налогу имущество физических лиц; 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лицами; Прием заявления к налоговому уведомлению об уточнении сведений, указанных в налоговом уведомлении</w:t>
            </w:r>
          </w:p>
        </w:tc>
      </w:tr>
      <w:tr w:rsidR="00E5726B">
        <w:trPr>
          <w:trHeight w:val="29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</w:tc>
      </w:tr>
      <w:tr w:rsidR="00E5726B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</w:tr>
      <w:tr w:rsidR="00E5726B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</w:t>
            </w:r>
          </w:p>
        </w:tc>
      </w:tr>
      <w:tr w:rsidR="00E5726B">
        <w:trPr>
          <w:trHeight w:val="2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Прием заявления о доступе к личному кабинету налогоплательщика для физических лиц (путем регистрации на портале </w:t>
            </w:r>
            <w:proofErr w:type="spellStart"/>
            <w:r>
              <w:rPr>
                <w:b/>
                <w:sz w:val="20"/>
              </w:rPr>
              <w:t>госуслуг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E5726B">
        <w:trPr>
          <w:trHeight w:val="2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Информирование физических лиц о наличии числящейся за ними налоговой задолженности</w:t>
            </w:r>
          </w:p>
        </w:tc>
      </w:tr>
      <w:tr w:rsidR="00E5726B">
        <w:trPr>
          <w:trHeight w:val="2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E5726B">
        <w:trPr>
          <w:trHeight w:val="2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</w:tr>
      <w:tr w:rsidR="00E5726B">
        <w:trPr>
          <w:trHeight w:val="29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</w:tr>
      <w:tr w:rsidR="00E5726B" w:rsidTr="0029048C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заявления физического лица (его законного или уполномоченного  представителя) о получении его налогового уведомления лично под расписку через МФЦ</w:t>
            </w:r>
          </w:p>
        </w:tc>
      </w:tr>
      <w:tr w:rsidR="00E5726B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26B" w:rsidRDefault="005A7D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Прием заявления о гибели или уничтожении  объекта налогообложения по транспортному налогу</w:t>
            </w:r>
          </w:p>
        </w:tc>
      </w:tr>
    </w:tbl>
    <w:p w:rsidR="0029048C" w:rsidRDefault="0029048C">
      <w:pPr>
        <w:jc w:val="both"/>
        <w:rPr>
          <w:sz w:val="20"/>
        </w:rPr>
      </w:pPr>
    </w:p>
    <w:p w:rsidR="0029048C" w:rsidRDefault="0029048C">
      <w:pPr>
        <w:jc w:val="both"/>
        <w:rPr>
          <w:sz w:val="20"/>
        </w:rPr>
      </w:pPr>
    </w:p>
    <w:p w:rsidR="00E5726B" w:rsidRDefault="005A7D5F">
      <w:pPr>
        <w:jc w:val="both"/>
        <w:rPr>
          <w:sz w:val="20"/>
        </w:rPr>
      </w:pPr>
      <w:r>
        <w:rPr>
          <w:sz w:val="20"/>
        </w:rPr>
        <w:t>Контактные данные:</w:t>
      </w:r>
    </w:p>
    <w:p w:rsidR="0029048C" w:rsidRDefault="0029048C">
      <w:pPr>
        <w:jc w:val="both"/>
        <w:rPr>
          <w:sz w:val="20"/>
        </w:rPr>
      </w:pPr>
    </w:p>
    <w:p w:rsidR="00E5726B" w:rsidRDefault="005A7D5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МФЦ Тихорецкого района – Краснодарский край,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ихорецк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76. т.(86196) 7-54-79</w:t>
      </w:r>
    </w:p>
    <w:p w:rsidR="00E5726B" w:rsidRDefault="005A7D5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МФЦ Новопокровского района – Краснодарский край, </w:t>
      </w:r>
      <w:proofErr w:type="spellStart"/>
      <w:r>
        <w:rPr>
          <w:sz w:val="20"/>
        </w:rPr>
        <w:t>Новопокровский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ст.Новопокровская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ул.Ленина</w:t>
      </w:r>
      <w:proofErr w:type="spellEnd"/>
      <w:r>
        <w:rPr>
          <w:sz w:val="20"/>
        </w:rPr>
        <w:t>, 113 т. (86149) 7-37-42</w:t>
      </w:r>
    </w:p>
    <w:p w:rsidR="00E5726B" w:rsidRDefault="005A7D5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МФЦ </w:t>
      </w:r>
      <w:proofErr w:type="spellStart"/>
      <w:r>
        <w:rPr>
          <w:sz w:val="20"/>
        </w:rPr>
        <w:t>Белоглинского</w:t>
      </w:r>
      <w:proofErr w:type="spellEnd"/>
      <w:r>
        <w:rPr>
          <w:sz w:val="20"/>
        </w:rPr>
        <w:t xml:space="preserve"> района – Краснодарский край, </w:t>
      </w:r>
      <w:proofErr w:type="spellStart"/>
      <w:r>
        <w:rPr>
          <w:sz w:val="20"/>
        </w:rPr>
        <w:t>Белоглинский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елая</w:t>
      </w:r>
      <w:proofErr w:type="spellEnd"/>
      <w:r>
        <w:rPr>
          <w:sz w:val="20"/>
        </w:rPr>
        <w:t xml:space="preserve"> Глина, </w:t>
      </w:r>
      <w:proofErr w:type="spellStart"/>
      <w:r>
        <w:rPr>
          <w:sz w:val="20"/>
        </w:rPr>
        <w:t>ул.Первомайская</w:t>
      </w:r>
      <w:proofErr w:type="spellEnd"/>
      <w:r>
        <w:rPr>
          <w:sz w:val="20"/>
        </w:rPr>
        <w:t>, 61,А т.(86154)7-25-24</w:t>
      </w:r>
    </w:p>
    <w:p w:rsidR="00E5726B" w:rsidRDefault="005A7D5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МФЦ </w:t>
      </w:r>
      <w:proofErr w:type="spellStart"/>
      <w:r>
        <w:rPr>
          <w:sz w:val="20"/>
        </w:rPr>
        <w:t>Выселковского</w:t>
      </w:r>
      <w:proofErr w:type="spellEnd"/>
      <w:r>
        <w:rPr>
          <w:sz w:val="20"/>
        </w:rPr>
        <w:t xml:space="preserve"> района – Краснодарский край, </w:t>
      </w:r>
      <w:proofErr w:type="spellStart"/>
      <w:r>
        <w:rPr>
          <w:sz w:val="20"/>
        </w:rPr>
        <w:t>Выселковский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ст.Выселки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ул.Лунева</w:t>
      </w:r>
      <w:proofErr w:type="spellEnd"/>
      <w:r>
        <w:rPr>
          <w:sz w:val="20"/>
        </w:rPr>
        <w:t>, 57. Т.(86157) 7-34-40</w:t>
      </w:r>
    </w:p>
    <w:p w:rsidR="00E5726B" w:rsidRPr="0029048C" w:rsidRDefault="005A7D5F">
      <w:pPr>
        <w:numPr>
          <w:ilvl w:val="0"/>
          <w:numId w:val="1"/>
        </w:numPr>
        <w:jc w:val="both"/>
        <w:rPr>
          <w:b/>
          <w:sz w:val="20"/>
        </w:rPr>
      </w:pPr>
      <w:r w:rsidRPr="0029048C">
        <w:rPr>
          <w:b/>
          <w:sz w:val="20"/>
        </w:rPr>
        <w:t xml:space="preserve">МФЦ Павловского района – Краснодарский край, Павловский район, </w:t>
      </w:r>
      <w:proofErr w:type="spellStart"/>
      <w:r w:rsidRPr="0029048C">
        <w:rPr>
          <w:b/>
          <w:sz w:val="20"/>
        </w:rPr>
        <w:t>ст</w:t>
      </w:r>
      <w:proofErr w:type="gramStart"/>
      <w:r w:rsidRPr="0029048C">
        <w:rPr>
          <w:b/>
          <w:sz w:val="20"/>
        </w:rPr>
        <w:t>.П</w:t>
      </w:r>
      <w:proofErr w:type="gramEnd"/>
      <w:r w:rsidRPr="0029048C">
        <w:rPr>
          <w:b/>
          <w:sz w:val="20"/>
        </w:rPr>
        <w:t>авловская</w:t>
      </w:r>
      <w:proofErr w:type="spellEnd"/>
      <w:r w:rsidRPr="0029048C">
        <w:rPr>
          <w:b/>
          <w:sz w:val="20"/>
        </w:rPr>
        <w:t xml:space="preserve">, </w:t>
      </w:r>
      <w:proofErr w:type="spellStart"/>
      <w:r w:rsidRPr="0029048C">
        <w:rPr>
          <w:b/>
          <w:sz w:val="20"/>
        </w:rPr>
        <w:t>ул.Гладкова</w:t>
      </w:r>
      <w:proofErr w:type="spellEnd"/>
      <w:r w:rsidRPr="0029048C">
        <w:rPr>
          <w:b/>
          <w:sz w:val="20"/>
        </w:rPr>
        <w:t>, 11 т.(86191)5-45-95</w:t>
      </w:r>
    </w:p>
    <w:p w:rsidR="00E5726B" w:rsidRDefault="005A7D5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МФЦ Крыловского района – Краснодарский край, Крыловский район, </w:t>
      </w:r>
      <w:proofErr w:type="spellStart"/>
      <w:r>
        <w:rPr>
          <w:sz w:val="20"/>
        </w:rPr>
        <w:t>ст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рыловская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ул.Орджоникидзе</w:t>
      </w:r>
      <w:proofErr w:type="spellEnd"/>
      <w:r>
        <w:rPr>
          <w:sz w:val="20"/>
        </w:rPr>
        <w:t>, 32 (86161) 3-51-19</w:t>
      </w:r>
    </w:p>
    <w:p w:rsidR="00E5726B" w:rsidRDefault="00E5726B">
      <w:pPr>
        <w:rPr>
          <w:sz w:val="20"/>
        </w:rPr>
      </w:pPr>
    </w:p>
    <w:sectPr w:rsidR="00E572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45D9"/>
    <w:multiLevelType w:val="multilevel"/>
    <w:tmpl w:val="BF9C5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B"/>
    <w:rsid w:val="0029048C"/>
    <w:rsid w:val="005A7D5F"/>
    <w:rsid w:val="00E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2021-04-19T07:25:00Z</dcterms:created>
  <dcterms:modified xsi:type="dcterms:W3CDTF">2021-04-19T09:38:00Z</dcterms:modified>
</cp:coreProperties>
</file>