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73" w:rsidRDefault="00A33A73" w:rsidP="00A33A73">
      <w:pPr>
        <w:jc w:val="center"/>
        <w:rPr>
          <w:b/>
          <w:sz w:val="36"/>
        </w:rPr>
      </w:pPr>
    </w:p>
    <w:p w:rsidR="00B649C3" w:rsidRDefault="00B649C3" w:rsidP="00A33A73">
      <w:pPr>
        <w:jc w:val="center"/>
        <w:rPr>
          <w:b/>
          <w:sz w:val="36"/>
        </w:rPr>
      </w:pPr>
    </w:p>
    <w:p w:rsidR="00B649C3" w:rsidRDefault="00B649C3" w:rsidP="00A33A73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43406E6F">
            <wp:extent cx="511810" cy="6464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3A73" w:rsidRDefault="00A33A73" w:rsidP="00A33A73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8A7455">
        <w:rPr>
          <w:b/>
          <w:sz w:val="28"/>
        </w:rPr>
        <w:t>НОВОПЕТРОВСКОГО</w:t>
      </w:r>
      <w:r>
        <w:rPr>
          <w:b/>
          <w:sz w:val="28"/>
        </w:rPr>
        <w:t xml:space="preserve"> СЕЛЬСКОГО ПОСЕЛЕНИЯ</w:t>
      </w:r>
    </w:p>
    <w:p w:rsidR="00A33A73" w:rsidRDefault="0053304D" w:rsidP="00A33A73">
      <w:pPr>
        <w:jc w:val="center"/>
        <w:rPr>
          <w:b/>
          <w:sz w:val="28"/>
        </w:rPr>
      </w:pPr>
      <w:r>
        <w:rPr>
          <w:b/>
          <w:sz w:val="28"/>
        </w:rPr>
        <w:t>ПАВЛОВСКИЙ РАЙОН</w:t>
      </w:r>
    </w:p>
    <w:p w:rsidR="00A33A73" w:rsidRDefault="00A33A73" w:rsidP="00A33A73">
      <w:pPr>
        <w:jc w:val="center"/>
        <w:rPr>
          <w:b/>
          <w:sz w:val="28"/>
        </w:rPr>
      </w:pPr>
    </w:p>
    <w:p w:rsidR="00A33A73" w:rsidRDefault="00A33A73" w:rsidP="00A33A73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A33A73" w:rsidRDefault="00A33A73" w:rsidP="00A33A73">
      <w:pPr>
        <w:jc w:val="center"/>
        <w:rPr>
          <w:sz w:val="28"/>
        </w:rPr>
      </w:pPr>
    </w:p>
    <w:p w:rsidR="00A33A73" w:rsidRDefault="00A33A73" w:rsidP="00A33A73">
      <w:pPr>
        <w:jc w:val="center"/>
      </w:pPr>
    </w:p>
    <w:p w:rsidR="00A33A73" w:rsidRPr="001225B4" w:rsidRDefault="00B649C3" w:rsidP="001225B4">
      <w:pPr>
        <w:rPr>
          <w:sz w:val="28"/>
          <w:szCs w:val="28"/>
        </w:rPr>
      </w:pPr>
      <w:r>
        <w:rPr>
          <w:sz w:val="28"/>
          <w:szCs w:val="28"/>
        </w:rPr>
        <w:t>от 25.12.2019г.</w:t>
      </w:r>
      <w:r w:rsidR="00A33A73" w:rsidRPr="001225B4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                 №  68-р</w:t>
      </w:r>
    </w:p>
    <w:p w:rsidR="00A33A73" w:rsidRPr="001225B4" w:rsidRDefault="00F10FA1" w:rsidP="00A33A73">
      <w:pPr>
        <w:jc w:val="center"/>
        <w:rPr>
          <w:sz w:val="28"/>
          <w:szCs w:val="28"/>
        </w:rPr>
      </w:pPr>
      <w:r>
        <w:rPr>
          <w:sz w:val="28"/>
          <w:szCs w:val="28"/>
        </w:rPr>
        <w:t>ст</w:t>
      </w:r>
      <w:r w:rsidR="002E40EF">
        <w:rPr>
          <w:sz w:val="28"/>
          <w:szCs w:val="28"/>
        </w:rPr>
        <w:t>-</w:t>
      </w:r>
      <w:r>
        <w:rPr>
          <w:sz w:val="28"/>
          <w:szCs w:val="28"/>
        </w:rPr>
        <w:t>ца</w:t>
      </w:r>
      <w:r w:rsidR="00A33A73" w:rsidRPr="001225B4">
        <w:rPr>
          <w:sz w:val="28"/>
          <w:szCs w:val="28"/>
        </w:rPr>
        <w:t xml:space="preserve"> </w:t>
      </w:r>
      <w:r w:rsidR="008A7455">
        <w:rPr>
          <w:sz w:val="28"/>
          <w:szCs w:val="28"/>
        </w:rPr>
        <w:t>Новопетровская</w:t>
      </w:r>
    </w:p>
    <w:p w:rsidR="00A33A73" w:rsidRDefault="00A33A73" w:rsidP="00A33A73">
      <w:pPr>
        <w:pStyle w:val="a3"/>
      </w:pPr>
    </w:p>
    <w:p w:rsidR="001225B4" w:rsidRDefault="001225B4" w:rsidP="00A33A73">
      <w:pPr>
        <w:pStyle w:val="a3"/>
      </w:pPr>
    </w:p>
    <w:p w:rsidR="00A30041" w:rsidRDefault="00A30041" w:rsidP="00A33A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33A73" w:rsidRDefault="00426A03" w:rsidP="00A060CF">
      <w:pPr>
        <w:jc w:val="center"/>
        <w:rPr>
          <w:b/>
          <w:sz w:val="28"/>
          <w:szCs w:val="28"/>
        </w:rPr>
      </w:pPr>
      <w:bookmarkStart w:id="0" w:name="_GoBack"/>
      <w:r>
        <w:rPr>
          <w:rFonts w:eastAsiaTheme="minorHAnsi"/>
          <w:b/>
          <w:sz w:val="28"/>
          <w:szCs w:val="28"/>
          <w:lang w:eastAsia="en-US"/>
        </w:rPr>
        <w:t xml:space="preserve">Об утверждении </w:t>
      </w:r>
      <w:r w:rsidR="00A060CF">
        <w:rPr>
          <w:rFonts w:eastAsiaTheme="minorHAnsi"/>
          <w:b/>
          <w:sz w:val="28"/>
          <w:szCs w:val="28"/>
          <w:lang w:eastAsia="en-US"/>
        </w:rPr>
        <w:t>учётн</w:t>
      </w:r>
      <w:r>
        <w:rPr>
          <w:rFonts w:eastAsiaTheme="minorHAnsi"/>
          <w:b/>
          <w:sz w:val="28"/>
          <w:szCs w:val="28"/>
          <w:lang w:eastAsia="en-US"/>
        </w:rPr>
        <w:t>ой</w:t>
      </w:r>
      <w:r w:rsidR="00A060CF">
        <w:rPr>
          <w:rFonts w:eastAsiaTheme="minorHAnsi"/>
          <w:b/>
          <w:sz w:val="28"/>
          <w:szCs w:val="28"/>
          <w:lang w:eastAsia="en-US"/>
        </w:rPr>
        <w:t xml:space="preserve"> политик</w:t>
      </w:r>
      <w:r>
        <w:rPr>
          <w:rFonts w:eastAsiaTheme="minorHAnsi"/>
          <w:b/>
          <w:sz w:val="28"/>
          <w:szCs w:val="28"/>
          <w:lang w:eastAsia="en-US"/>
        </w:rPr>
        <w:t>и</w:t>
      </w:r>
      <w:r w:rsidR="00A060CF">
        <w:rPr>
          <w:rFonts w:eastAsiaTheme="minorHAnsi"/>
          <w:b/>
          <w:sz w:val="28"/>
          <w:szCs w:val="28"/>
          <w:lang w:eastAsia="en-US"/>
        </w:rPr>
        <w:t xml:space="preserve"> для целей </w:t>
      </w:r>
      <w:r>
        <w:rPr>
          <w:rFonts w:eastAsiaTheme="minorHAnsi"/>
          <w:b/>
          <w:sz w:val="28"/>
          <w:szCs w:val="28"/>
          <w:lang w:eastAsia="en-US"/>
        </w:rPr>
        <w:t>налогового учёта</w:t>
      </w:r>
    </w:p>
    <w:bookmarkEnd w:id="0"/>
    <w:p w:rsidR="00A33A73" w:rsidRDefault="00A33A73" w:rsidP="00A060C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A060CF" w:rsidRDefault="00A060CF" w:rsidP="00A060CF">
      <w:pPr>
        <w:ind w:firstLine="709"/>
        <w:jc w:val="both"/>
        <w:rPr>
          <w:sz w:val="28"/>
          <w:szCs w:val="28"/>
        </w:rPr>
      </w:pPr>
      <w:r w:rsidRPr="00A060CF">
        <w:rPr>
          <w:sz w:val="28"/>
          <w:szCs w:val="28"/>
        </w:rPr>
        <w:t>Руководствуясь ч</w:t>
      </w:r>
      <w:r w:rsidR="00C92F43">
        <w:rPr>
          <w:sz w:val="28"/>
          <w:szCs w:val="28"/>
        </w:rPr>
        <w:t>астью</w:t>
      </w:r>
      <w:r w:rsidRPr="00A060CF">
        <w:rPr>
          <w:sz w:val="28"/>
          <w:szCs w:val="28"/>
        </w:rPr>
        <w:t xml:space="preserve"> 6 ст</w:t>
      </w:r>
      <w:r w:rsidR="00C92F43">
        <w:rPr>
          <w:sz w:val="28"/>
          <w:szCs w:val="28"/>
        </w:rPr>
        <w:t>атьи</w:t>
      </w:r>
      <w:r w:rsidRPr="00A060CF">
        <w:rPr>
          <w:sz w:val="28"/>
          <w:szCs w:val="28"/>
        </w:rPr>
        <w:t xml:space="preserve"> 8 Федерального закона от 06</w:t>
      </w:r>
      <w:r w:rsidR="00C92F43">
        <w:rPr>
          <w:sz w:val="28"/>
          <w:szCs w:val="28"/>
        </w:rPr>
        <w:t xml:space="preserve"> декабря </w:t>
      </w:r>
      <w:r w:rsidRPr="00A060CF">
        <w:rPr>
          <w:sz w:val="28"/>
          <w:szCs w:val="28"/>
        </w:rPr>
        <w:t xml:space="preserve">2011 </w:t>
      </w:r>
      <w:r w:rsidR="00C92F43">
        <w:rPr>
          <w:sz w:val="28"/>
          <w:szCs w:val="28"/>
        </w:rPr>
        <w:t>№</w:t>
      </w:r>
      <w:r w:rsidRPr="00A060CF">
        <w:rPr>
          <w:sz w:val="28"/>
          <w:szCs w:val="28"/>
        </w:rPr>
        <w:t xml:space="preserve"> 402-ФЗ "О бухгалтерском учете",</w:t>
      </w:r>
      <w:r w:rsidR="00426A03">
        <w:rPr>
          <w:sz w:val="28"/>
          <w:szCs w:val="28"/>
        </w:rPr>
        <w:t xml:space="preserve"> Налоговым кодексом Российской федерации, Бюджетным кодексом Российской федерации</w:t>
      </w:r>
      <w:r>
        <w:rPr>
          <w:sz w:val="28"/>
          <w:szCs w:val="28"/>
        </w:rPr>
        <w:t xml:space="preserve">: </w:t>
      </w:r>
    </w:p>
    <w:p w:rsidR="00841B3C" w:rsidRDefault="00841B3C" w:rsidP="00A060CF">
      <w:pPr>
        <w:pStyle w:val="af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245C9">
        <w:rPr>
          <w:sz w:val="28"/>
          <w:szCs w:val="28"/>
        </w:rPr>
        <w:t xml:space="preserve">. </w:t>
      </w:r>
      <w:r w:rsidR="00426A03">
        <w:rPr>
          <w:sz w:val="28"/>
          <w:szCs w:val="28"/>
        </w:rPr>
        <w:t xml:space="preserve">Утвердить учётную политику для целей налогового учёта согласно приложению и ввести её в действие с 1 января 2020 года </w:t>
      </w:r>
      <w:r w:rsidR="00A060CF" w:rsidRPr="00A060CF">
        <w:rPr>
          <w:sz w:val="28"/>
          <w:szCs w:val="28"/>
        </w:rPr>
        <w:t xml:space="preserve"> </w:t>
      </w:r>
      <w:r w:rsidR="00A060CF">
        <w:rPr>
          <w:sz w:val="28"/>
          <w:szCs w:val="28"/>
        </w:rPr>
        <w:t>(приложение)</w:t>
      </w:r>
      <w:r w:rsidR="00A060CF" w:rsidRPr="00A060CF">
        <w:rPr>
          <w:sz w:val="28"/>
          <w:szCs w:val="28"/>
        </w:rPr>
        <w:t>.</w:t>
      </w:r>
    </w:p>
    <w:p w:rsidR="008245C9" w:rsidRDefault="00A060CF" w:rsidP="008D7DA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6A03">
        <w:rPr>
          <w:sz w:val="28"/>
          <w:szCs w:val="28"/>
        </w:rPr>
        <w:t xml:space="preserve">. </w:t>
      </w:r>
      <w:r w:rsidR="00005C7F">
        <w:rPr>
          <w:sz w:val="28"/>
          <w:szCs w:val="28"/>
        </w:rPr>
        <w:t>Контроль за выполнением настоящего распоряжения оставляю за собой.</w:t>
      </w:r>
    </w:p>
    <w:p w:rsidR="008245C9" w:rsidRDefault="008245C9" w:rsidP="008245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60CF">
        <w:rPr>
          <w:sz w:val="28"/>
          <w:szCs w:val="28"/>
        </w:rPr>
        <w:t>3</w:t>
      </w:r>
      <w:r>
        <w:rPr>
          <w:sz w:val="28"/>
          <w:szCs w:val="28"/>
        </w:rPr>
        <w:t>. Распоряжение вступает в силу со дня его подписания</w:t>
      </w:r>
      <w:r w:rsidR="00C92F43">
        <w:rPr>
          <w:sz w:val="28"/>
          <w:szCs w:val="28"/>
        </w:rPr>
        <w:t xml:space="preserve"> и распространяет своё действие с 01 января 20</w:t>
      </w:r>
      <w:r w:rsidR="00B2325F">
        <w:rPr>
          <w:sz w:val="28"/>
          <w:szCs w:val="28"/>
        </w:rPr>
        <w:t>20</w:t>
      </w:r>
      <w:r w:rsidR="00C92F43">
        <w:rPr>
          <w:sz w:val="28"/>
          <w:szCs w:val="28"/>
        </w:rPr>
        <w:t xml:space="preserve"> года.</w:t>
      </w:r>
    </w:p>
    <w:p w:rsidR="00B2325F" w:rsidRDefault="00B2325F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B2325F" w:rsidRDefault="00B2325F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F10FA1" w:rsidRDefault="00B2325F" w:rsidP="00A33A7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</w:t>
      </w:r>
      <w:r w:rsidR="00A33A73">
        <w:rPr>
          <w:rFonts w:ascii="Times New Roman" w:hAnsi="Times New Roman"/>
          <w:sz w:val="28"/>
          <w:szCs w:val="28"/>
        </w:rPr>
        <w:t xml:space="preserve"> сельс</w:t>
      </w:r>
      <w:r w:rsidR="000A0840">
        <w:rPr>
          <w:rFonts w:ascii="Times New Roman" w:hAnsi="Times New Roman"/>
          <w:sz w:val="28"/>
          <w:szCs w:val="28"/>
        </w:rPr>
        <w:t>кого поселения</w:t>
      </w:r>
    </w:p>
    <w:p w:rsidR="00E534B2" w:rsidRDefault="00F10FA1" w:rsidP="00C92F4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167932">
        <w:rPr>
          <w:rFonts w:ascii="Times New Roman" w:hAnsi="Times New Roman"/>
          <w:sz w:val="28"/>
          <w:szCs w:val="28"/>
        </w:rPr>
        <w:t xml:space="preserve">         </w:t>
      </w:r>
      <w:r w:rsidR="00B2325F">
        <w:rPr>
          <w:rFonts w:ascii="Times New Roman" w:hAnsi="Times New Roman"/>
          <w:sz w:val="28"/>
          <w:szCs w:val="28"/>
        </w:rPr>
        <w:t xml:space="preserve">          </w:t>
      </w:r>
      <w:r w:rsidR="00167932">
        <w:rPr>
          <w:rFonts w:ascii="Times New Roman" w:hAnsi="Times New Roman"/>
          <w:sz w:val="28"/>
          <w:szCs w:val="28"/>
        </w:rPr>
        <w:t xml:space="preserve">   </w:t>
      </w:r>
      <w:r w:rsidR="008A7455">
        <w:rPr>
          <w:rFonts w:ascii="Times New Roman" w:hAnsi="Times New Roman"/>
          <w:sz w:val="28"/>
          <w:szCs w:val="28"/>
        </w:rPr>
        <w:t>Е.А. Бессонов</w:t>
      </w:r>
    </w:p>
    <w:p w:rsidR="00B649C3" w:rsidRDefault="00B649C3" w:rsidP="00C92F43">
      <w:pPr>
        <w:pStyle w:val="a5"/>
        <w:rPr>
          <w:rFonts w:ascii="Times New Roman" w:hAnsi="Times New Roman"/>
          <w:sz w:val="28"/>
          <w:szCs w:val="28"/>
        </w:rPr>
      </w:pPr>
    </w:p>
    <w:p w:rsidR="00B649C3" w:rsidRDefault="00B649C3" w:rsidP="00C92F43">
      <w:pPr>
        <w:pStyle w:val="a5"/>
        <w:rPr>
          <w:rFonts w:ascii="Times New Roman" w:hAnsi="Times New Roman"/>
          <w:sz w:val="28"/>
          <w:szCs w:val="28"/>
        </w:rPr>
      </w:pPr>
    </w:p>
    <w:p w:rsidR="00B649C3" w:rsidRDefault="00B649C3" w:rsidP="00C92F43">
      <w:pPr>
        <w:pStyle w:val="a5"/>
        <w:rPr>
          <w:rFonts w:ascii="Times New Roman" w:hAnsi="Times New Roman"/>
          <w:sz w:val="28"/>
          <w:szCs w:val="28"/>
        </w:rPr>
      </w:pPr>
    </w:p>
    <w:p w:rsidR="00B649C3" w:rsidRDefault="00B649C3" w:rsidP="00C92F43">
      <w:pPr>
        <w:pStyle w:val="a5"/>
        <w:rPr>
          <w:rFonts w:ascii="Times New Roman" w:hAnsi="Times New Roman"/>
          <w:sz w:val="28"/>
          <w:szCs w:val="28"/>
        </w:rPr>
      </w:pP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</w:p>
    <w:p w:rsid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 xml:space="preserve">                    </w:t>
      </w:r>
      <w:r w:rsidRPr="00B649C3">
        <w:rPr>
          <w:rFonts w:ascii="Times New Roman" w:hAnsi="Times New Roman"/>
          <w:sz w:val="28"/>
          <w:szCs w:val="28"/>
        </w:rPr>
        <w:tab/>
      </w:r>
      <w:r w:rsidRPr="00B649C3">
        <w:rPr>
          <w:rFonts w:ascii="Times New Roman" w:hAnsi="Times New Roman"/>
          <w:sz w:val="28"/>
          <w:szCs w:val="28"/>
        </w:rPr>
        <w:tab/>
      </w:r>
      <w:r w:rsidRPr="00B649C3">
        <w:rPr>
          <w:rFonts w:ascii="Times New Roman" w:hAnsi="Times New Roman"/>
          <w:sz w:val="28"/>
          <w:szCs w:val="28"/>
        </w:rPr>
        <w:tab/>
      </w:r>
      <w:r w:rsidRPr="00B649C3">
        <w:rPr>
          <w:rFonts w:ascii="Times New Roman" w:hAnsi="Times New Roman"/>
          <w:sz w:val="28"/>
          <w:szCs w:val="28"/>
        </w:rPr>
        <w:tab/>
      </w:r>
      <w:r w:rsidRPr="00B649C3">
        <w:rPr>
          <w:rFonts w:ascii="Times New Roman" w:hAnsi="Times New Roman"/>
          <w:sz w:val="28"/>
          <w:szCs w:val="28"/>
        </w:rPr>
        <w:tab/>
      </w:r>
      <w:r w:rsidRPr="00B649C3">
        <w:rPr>
          <w:rFonts w:ascii="Times New Roman" w:hAnsi="Times New Roman"/>
          <w:sz w:val="28"/>
          <w:szCs w:val="28"/>
        </w:rPr>
        <w:tab/>
      </w:r>
      <w:r w:rsidRPr="00B649C3">
        <w:rPr>
          <w:rFonts w:ascii="Times New Roman" w:hAnsi="Times New Roman"/>
          <w:sz w:val="28"/>
          <w:szCs w:val="28"/>
        </w:rPr>
        <w:tab/>
      </w:r>
      <w:r w:rsidRPr="00B649C3">
        <w:rPr>
          <w:rFonts w:ascii="Times New Roman" w:hAnsi="Times New Roman"/>
          <w:sz w:val="28"/>
          <w:szCs w:val="28"/>
        </w:rPr>
        <w:tab/>
      </w:r>
      <w:r w:rsidRPr="00B649C3">
        <w:rPr>
          <w:rFonts w:ascii="Times New Roman" w:hAnsi="Times New Roman"/>
          <w:sz w:val="28"/>
          <w:szCs w:val="28"/>
        </w:rPr>
        <w:tab/>
      </w:r>
      <w:r w:rsidRPr="00B649C3">
        <w:rPr>
          <w:rFonts w:ascii="Times New Roman" w:hAnsi="Times New Roman"/>
          <w:sz w:val="28"/>
          <w:szCs w:val="28"/>
        </w:rPr>
        <w:tab/>
      </w:r>
    </w:p>
    <w:p w:rsid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</w:p>
    <w:p w:rsid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</w:p>
    <w:p w:rsid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</w:p>
    <w:p w:rsid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</w:p>
    <w:p w:rsid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</w:p>
    <w:p w:rsid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</w:p>
    <w:p w:rsid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</w:p>
    <w:p w:rsid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</w:p>
    <w:p w:rsid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</w:p>
    <w:p w:rsid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</w:p>
    <w:p w:rsidR="00B649C3" w:rsidRPr="00B649C3" w:rsidRDefault="00B649C3" w:rsidP="00B649C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B649C3">
        <w:rPr>
          <w:rFonts w:ascii="Times New Roman" w:hAnsi="Times New Roman"/>
          <w:sz w:val="28"/>
          <w:szCs w:val="28"/>
        </w:rPr>
        <w:t>Приложение 1</w:t>
      </w:r>
    </w:p>
    <w:p w:rsidR="00B649C3" w:rsidRPr="00B649C3" w:rsidRDefault="00B649C3" w:rsidP="00B649C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ab/>
      </w:r>
      <w:r w:rsidRPr="00B649C3">
        <w:rPr>
          <w:rFonts w:ascii="Times New Roman" w:hAnsi="Times New Roman"/>
          <w:sz w:val="28"/>
          <w:szCs w:val="28"/>
        </w:rPr>
        <w:tab/>
      </w:r>
      <w:r w:rsidRPr="00B649C3">
        <w:rPr>
          <w:rFonts w:ascii="Times New Roman" w:hAnsi="Times New Roman"/>
          <w:sz w:val="28"/>
          <w:szCs w:val="28"/>
        </w:rPr>
        <w:tab/>
      </w:r>
      <w:r w:rsidRPr="00B649C3">
        <w:rPr>
          <w:rFonts w:ascii="Times New Roman" w:hAnsi="Times New Roman"/>
          <w:sz w:val="28"/>
          <w:szCs w:val="28"/>
        </w:rPr>
        <w:tab/>
      </w:r>
      <w:r w:rsidRPr="00B649C3">
        <w:rPr>
          <w:rFonts w:ascii="Times New Roman" w:hAnsi="Times New Roman"/>
          <w:sz w:val="28"/>
          <w:szCs w:val="28"/>
        </w:rPr>
        <w:tab/>
      </w:r>
      <w:r w:rsidRPr="00B649C3">
        <w:rPr>
          <w:rFonts w:ascii="Times New Roman" w:hAnsi="Times New Roman"/>
          <w:sz w:val="28"/>
          <w:szCs w:val="28"/>
        </w:rPr>
        <w:tab/>
      </w:r>
      <w:r w:rsidRPr="00B649C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B649C3">
        <w:rPr>
          <w:rFonts w:ascii="Times New Roman" w:hAnsi="Times New Roman"/>
          <w:sz w:val="28"/>
          <w:szCs w:val="28"/>
        </w:rPr>
        <w:t>к распоряжению администрации</w:t>
      </w:r>
    </w:p>
    <w:p w:rsidR="00B649C3" w:rsidRPr="00B649C3" w:rsidRDefault="00B649C3" w:rsidP="00B649C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ab/>
      </w:r>
      <w:r w:rsidRPr="00B649C3">
        <w:rPr>
          <w:rFonts w:ascii="Times New Roman" w:hAnsi="Times New Roman"/>
          <w:sz w:val="28"/>
          <w:szCs w:val="28"/>
        </w:rPr>
        <w:tab/>
      </w:r>
      <w:r w:rsidRPr="00B649C3">
        <w:rPr>
          <w:rFonts w:ascii="Times New Roman" w:hAnsi="Times New Roman"/>
          <w:sz w:val="28"/>
          <w:szCs w:val="28"/>
        </w:rPr>
        <w:tab/>
      </w:r>
      <w:r w:rsidRPr="00B649C3">
        <w:rPr>
          <w:rFonts w:ascii="Times New Roman" w:hAnsi="Times New Roman"/>
          <w:sz w:val="28"/>
          <w:szCs w:val="28"/>
        </w:rPr>
        <w:tab/>
      </w:r>
      <w:r w:rsidRPr="00B649C3">
        <w:rPr>
          <w:rFonts w:ascii="Times New Roman" w:hAnsi="Times New Roman"/>
          <w:sz w:val="28"/>
          <w:szCs w:val="28"/>
        </w:rPr>
        <w:tab/>
      </w:r>
      <w:r w:rsidRPr="00B649C3">
        <w:rPr>
          <w:rFonts w:ascii="Times New Roman" w:hAnsi="Times New Roman"/>
          <w:sz w:val="28"/>
          <w:szCs w:val="28"/>
        </w:rPr>
        <w:tab/>
      </w:r>
      <w:r w:rsidRPr="00B649C3">
        <w:rPr>
          <w:rFonts w:ascii="Times New Roman" w:hAnsi="Times New Roman"/>
          <w:sz w:val="28"/>
          <w:szCs w:val="28"/>
        </w:rPr>
        <w:tab/>
        <w:t xml:space="preserve"> Новопетровского сельского </w:t>
      </w:r>
    </w:p>
    <w:p w:rsidR="00B649C3" w:rsidRPr="00B649C3" w:rsidRDefault="00B649C3" w:rsidP="00B649C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B649C3">
        <w:rPr>
          <w:rFonts w:ascii="Times New Roman" w:hAnsi="Times New Roman"/>
          <w:sz w:val="28"/>
          <w:szCs w:val="28"/>
        </w:rPr>
        <w:t xml:space="preserve">     поселения Павловского района</w:t>
      </w:r>
    </w:p>
    <w:p w:rsidR="00B649C3" w:rsidRPr="00B649C3" w:rsidRDefault="00B649C3" w:rsidP="00B649C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 w:rsidRPr="00B649C3">
        <w:rPr>
          <w:rFonts w:ascii="Times New Roman" w:hAnsi="Times New Roman"/>
          <w:sz w:val="28"/>
          <w:szCs w:val="28"/>
        </w:rPr>
        <w:t>от 25.12.2019г №  68-р</w:t>
      </w:r>
      <w:r w:rsidRPr="00B649C3">
        <w:rPr>
          <w:rFonts w:ascii="Times New Roman" w:hAnsi="Times New Roman"/>
          <w:sz w:val="28"/>
          <w:szCs w:val="28"/>
        </w:rPr>
        <w:tab/>
      </w:r>
      <w:r w:rsidRPr="00B649C3">
        <w:rPr>
          <w:rFonts w:ascii="Times New Roman" w:hAnsi="Times New Roman"/>
          <w:sz w:val="28"/>
          <w:szCs w:val="28"/>
        </w:rPr>
        <w:tab/>
      </w:r>
    </w:p>
    <w:p w:rsidR="00B649C3" w:rsidRPr="00B649C3" w:rsidRDefault="00B649C3" w:rsidP="00B649C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649C3" w:rsidRPr="00B649C3" w:rsidRDefault="00B649C3" w:rsidP="00B649C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>Учетная политика для целей налогообложения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 xml:space="preserve"> 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ab/>
        <w:t xml:space="preserve">1. Ведение налогового учета возлагается на бухгалтерию, возглавляемую главным бухгалтером. 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 xml:space="preserve"> 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>Налог на прибыль организаций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 xml:space="preserve"> 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>Порядок ведения налогового учета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 xml:space="preserve"> 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ab/>
        <w:t xml:space="preserve">2. Для ведения налогового учета используются данные бухучета, группируемые с помощью дополнительных аналитических признаков в зависимости от степени признания в налоговом учете. 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ab/>
        <w:t>По операциям, порядок признания в которых доходов и расходов отличается от порядка в бухучете, а также по операциям, которые в бухучете не отражаются, используются налоговые регистры по формам, приведенным в рекомендациях МНС России. Перечень регистров налогового учета приведен в приложении к настоящей учетной политике. Основание: статья 313 Налогового кодекса РФ.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ab/>
        <w:t>3. Учет доходов ведется методом начисления. Основание: статья 271 Налогового кодекса РФ.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 xml:space="preserve"> </w:t>
      </w:r>
      <w:r w:rsidRPr="00B649C3">
        <w:rPr>
          <w:rFonts w:ascii="Times New Roman" w:hAnsi="Times New Roman"/>
          <w:sz w:val="28"/>
          <w:szCs w:val="28"/>
        </w:rPr>
        <w:tab/>
        <w:t>4. Вести раздельный учет доходов, полученных в рамках целевого финансирования и иных источников, на основании данных аналитического учета и налоговых регистров. Основание: пункт 14 статьи 250 Налогового кодекса РФ.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 xml:space="preserve"> </w:t>
      </w:r>
      <w:r w:rsidRPr="00B649C3">
        <w:rPr>
          <w:rFonts w:ascii="Times New Roman" w:hAnsi="Times New Roman"/>
          <w:sz w:val="28"/>
          <w:szCs w:val="28"/>
        </w:rPr>
        <w:tab/>
        <w:t>5. При определении налоговой базы не учитываются: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>- лимиты бюджетных обязательств (бюджетные ассигнования), доведенные в установленном порядке;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>- средства, полученные от оказания и выполнения любых услуг и работ.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 xml:space="preserve">- средства, полученные от арендной платы и платы за сервитут. 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ab/>
        <w:t>Основание: подпункты 14, 33.1 пункта 1 статьи 251 Налогового кодекса РФ.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 xml:space="preserve"> </w:t>
      </w:r>
      <w:r w:rsidRPr="00B649C3">
        <w:rPr>
          <w:rFonts w:ascii="Times New Roman" w:hAnsi="Times New Roman"/>
          <w:sz w:val="28"/>
          <w:szCs w:val="28"/>
        </w:rPr>
        <w:tab/>
        <w:t>6. Доходы для целей налогообложения и порядок их оценки.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ab/>
        <w:t>6.1. Доходами для целей налогообложения от приносящей доход деятельности признаются доходы, получаемые: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>- от реализации нефинансовых активов, закрепленных за учреждением на праве оперативного управления;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>- иные доходы, признаваемые таковыми согласно положениям главы 25 Налогового кодекса РФ.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B649C3">
        <w:rPr>
          <w:rFonts w:ascii="Times New Roman" w:hAnsi="Times New Roman"/>
          <w:sz w:val="28"/>
          <w:szCs w:val="28"/>
        </w:rPr>
        <w:tab/>
        <w:t xml:space="preserve">Доходы от реализации и внереализационные доходы учитываются в соответствии со статьями 249, 250 Налогового кодекса РФ. 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 xml:space="preserve"> </w:t>
      </w:r>
      <w:r w:rsidRPr="00B649C3">
        <w:rPr>
          <w:rFonts w:ascii="Times New Roman" w:hAnsi="Times New Roman"/>
          <w:sz w:val="28"/>
          <w:szCs w:val="28"/>
        </w:rPr>
        <w:tab/>
        <w:t>6.2. Полученные доходы определяются на основании: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>- оборотов по счету 1.205.00.000 «Расчеты по доходам», аналитический признак «Доходы, учитываемые при расчете налога на прибыль»;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>- оборотов по счету 1.209.00.000 «Расчеты по ущербу и иным доходам», аналитический признак «Доходы, учитываемые при расчете налога на прибыль»;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>- налоговых регистров (в части выявленных излишков, безвозмездных поступлений и т. д.).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ab/>
        <w:t>6.3. Стоимость безвозмездно полученного имущества в случаях, когда доход от такого имущества подлежит налогообложению, а также стоимость имущества, выявленного при инвентаризации, включается в состав налогооблагаемых доходов по рыночной стоимости. Рыночную стоимость устанавливает постоянно действующая в учреждении комиссия по поступлению и выбытию активов. В оценке учитываются положения статьи 105.3 Налогового кодекса РФ. Итоги оценки оформляются в акте произвольной формы с приложением подтверждающих документов, на основе которых был произведен расчет: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>- справками (другими подтверждающими документами) Росстата;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>- прайс-листами заводов-изготовителей;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>- справками (другими подтверждающими документами) оценщиков;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>- информацией, размещенной в СМИ, и т. д.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ab/>
        <w:t>При невозможности определения рыночной стоимости силами комиссии учреждения к оценке привлекается внешний эксперт или специализированная организация.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ab/>
        <w:t>6.4. Излишки имущества, приобретенного за счет целевого финансирования, которые образовались из-за ранее допущенных ошибок бухучета, налогооблагаемым доходом не признаются.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 xml:space="preserve"> </w:t>
      </w:r>
      <w:r w:rsidRPr="00B649C3">
        <w:rPr>
          <w:rFonts w:ascii="Times New Roman" w:hAnsi="Times New Roman"/>
          <w:sz w:val="28"/>
          <w:szCs w:val="28"/>
        </w:rPr>
        <w:tab/>
        <w:t>7. Декларация по окончании каждого отчетного (налогового) периода представляется как по местонахождению головного отделения, так и по местонахождению каждого обособленного подразделения в сроки, предусмотренные статьей 289 Налогового кодекса РФ.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 xml:space="preserve"> </w:t>
      </w:r>
      <w:r w:rsidRPr="00B649C3">
        <w:rPr>
          <w:rFonts w:ascii="Times New Roman" w:hAnsi="Times New Roman"/>
          <w:sz w:val="28"/>
          <w:szCs w:val="28"/>
        </w:rPr>
        <w:tab/>
        <w:t>Если ни в одном отчетном периоде налогового периода у учреждения не возникает доходов, подлежащих налогообложению, учреждение представляет налоговую декларацию по упрощенной форме по итогам налогового периода (т. е. один раз в год – не позднее 28 марта следующего года).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 xml:space="preserve"> 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>Налог на добавленную стоимость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 xml:space="preserve"> 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ab/>
        <w:t>8. Не является объектом обложения НДС выполнение работ (оказание услуг):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>- предоставление в аренду госимущества;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>- безвозмездная передача жилых домов, детских садов, санаториев, дорог, сооружений;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>- передача имущества и имущественных прав правопреемникам при реорганизации;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lastRenderedPageBreak/>
        <w:t>- безвозмездная передача основных средств другим учреждениям, органам власти, а так же ГУПам и МУПам;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>-  иные операции, поименованные в пункте 2 статьи 146 НК РФ.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ab/>
        <w:t>А также другие операции, которые не признаются реализацией для целей расчета НДС в соответствии с Налоговым кодексом РФ.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ab/>
        <w:t>Объектом обложения НДС признаются операции по реализации и безвозмездной передаче нефинансовых активов, в том числе: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>- по вручению подарков сотрудникам;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>- по выдаче сотрудникам на безвозмездной основе трудовых книжек и вкладышей к ним.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 xml:space="preserve"> Основание: статья 146 Налогового кодекса РФ.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 xml:space="preserve"> </w:t>
      </w:r>
      <w:r w:rsidRPr="00B649C3">
        <w:rPr>
          <w:rFonts w:ascii="Times New Roman" w:hAnsi="Times New Roman"/>
          <w:sz w:val="28"/>
          <w:szCs w:val="28"/>
        </w:rPr>
        <w:tab/>
        <w:t>9. Учет НДС ведется на основании счетов-фактур, заполненных в соответствии с установленным законодательством порядком и регистрируемых в книге продаж и книге покупок, которые хранятся в бухгалтерии учреждения.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 xml:space="preserve"> </w:t>
      </w:r>
      <w:r w:rsidRPr="00B649C3">
        <w:rPr>
          <w:rFonts w:ascii="Times New Roman" w:hAnsi="Times New Roman"/>
          <w:sz w:val="28"/>
          <w:szCs w:val="28"/>
        </w:rPr>
        <w:tab/>
        <w:t>10. Ответственными лицами за подписание счетов-фактур назначаются: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>- Глава Новопетровского сельского поселения;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>- главный бухгалтер.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 xml:space="preserve"> </w:t>
      </w:r>
      <w:r w:rsidRPr="00B649C3">
        <w:rPr>
          <w:rFonts w:ascii="Times New Roman" w:hAnsi="Times New Roman"/>
          <w:sz w:val="28"/>
          <w:szCs w:val="28"/>
        </w:rPr>
        <w:tab/>
        <w:t>В их отсутствие имеют право подписывать счета-фактуры лица, указанные в карточке образцов подписей.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ab/>
        <w:t>11. Обособленные подразделения нумеруют счета-фактуры в пределах диапазона номеров, выделяемых головным учреждением.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 xml:space="preserve">Основание: подпункт «а» пункта 1 приложения 1 к постановлению Правительства РФ от 26 декабря 2011 г. № 1137. 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 xml:space="preserve"> </w:t>
      </w:r>
      <w:r w:rsidRPr="00B649C3">
        <w:rPr>
          <w:rFonts w:ascii="Times New Roman" w:hAnsi="Times New Roman"/>
          <w:sz w:val="28"/>
          <w:szCs w:val="28"/>
        </w:rPr>
        <w:tab/>
        <w:t>12. Входной НДС по товарам (работам, услугам, имущественным правам) независимо от того, в какой деятельности они используются, к вычету не принимается, а учитывается в их стоимости.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 xml:space="preserve"> </w:t>
      </w:r>
      <w:r w:rsidRPr="00B649C3">
        <w:rPr>
          <w:rFonts w:ascii="Times New Roman" w:hAnsi="Times New Roman"/>
          <w:sz w:val="28"/>
          <w:szCs w:val="28"/>
        </w:rPr>
        <w:tab/>
        <w:t xml:space="preserve">13. НДС по операциям, признаваемым объектом обложения НДС (в соответствии с п. 8 настоящего приказа), начисляется с межценовой разницы. 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 xml:space="preserve"> 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>Сумма НДС, которую нужно начислить, рассчитывается по формуле: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 xml:space="preserve"> 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>НДС</w:t>
      </w:r>
      <w:r w:rsidRPr="00B649C3">
        <w:rPr>
          <w:rFonts w:ascii="Times New Roman" w:hAnsi="Times New Roman"/>
          <w:sz w:val="28"/>
          <w:szCs w:val="28"/>
        </w:rPr>
        <w:tab/>
        <w:t>=</w:t>
      </w:r>
      <w:r w:rsidRPr="00B649C3">
        <w:rPr>
          <w:rFonts w:ascii="Times New Roman" w:hAnsi="Times New Roman"/>
          <w:sz w:val="28"/>
          <w:szCs w:val="28"/>
        </w:rPr>
        <w:tab/>
        <w:t xml:space="preserve">Рыночная цена реализованного, 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 xml:space="preserve">безвозмездно переданного 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>имущества с учетом НДС</w:t>
      </w:r>
      <w:r w:rsidRPr="00B649C3">
        <w:rPr>
          <w:rFonts w:ascii="Times New Roman" w:hAnsi="Times New Roman"/>
          <w:sz w:val="28"/>
          <w:szCs w:val="28"/>
        </w:rPr>
        <w:tab/>
        <w:t>–</w:t>
      </w:r>
      <w:r w:rsidRPr="00B649C3">
        <w:rPr>
          <w:rFonts w:ascii="Times New Roman" w:hAnsi="Times New Roman"/>
          <w:sz w:val="28"/>
          <w:szCs w:val="28"/>
        </w:rPr>
        <w:tab/>
        <w:t xml:space="preserve">Покупная (остаточная с 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 xml:space="preserve">учетом переоценок) стоимость 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>с учетом НДС</w:t>
      </w:r>
      <w:r w:rsidRPr="00B649C3">
        <w:rPr>
          <w:rFonts w:ascii="Times New Roman" w:hAnsi="Times New Roman"/>
          <w:sz w:val="28"/>
          <w:szCs w:val="28"/>
        </w:rPr>
        <w:tab/>
        <w:t>×</w:t>
      </w:r>
      <w:r w:rsidRPr="00B649C3">
        <w:rPr>
          <w:rFonts w:ascii="Times New Roman" w:hAnsi="Times New Roman"/>
          <w:sz w:val="28"/>
          <w:szCs w:val="28"/>
        </w:rPr>
        <w:tab/>
        <w:t>18/118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>(10/110)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>Основание: пункт 3 статьи 154 и пункт 4 статьи 164 Налогового кодекса РФ.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 xml:space="preserve"> </w:t>
      </w:r>
      <w:r w:rsidRPr="00B649C3">
        <w:rPr>
          <w:rFonts w:ascii="Times New Roman" w:hAnsi="Times New Roman"/>
          <w:sz w:val="28"/>
          <w:szCs w:val="28"/>
        </w:rPr>
        <w:tab/>
        <w:t xml:space="preserve">14. Сумму НДС, рассчитанную по итогам квартала, перечисляется в федеральный бюджет по местонахождению учреждения равномерно не позднее 25-го числа каждого из трех месяцев, следующего за истекшим налоговым периодом. 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>Основание: статья 174 Налогового кодекса РФ.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 xml:space="preserve"> 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>Транспортный налог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 xml:space="preserve"> 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ab/>
        <w:t>15. Налогооблагаемая база формируется исходя из наличия всех транспортных средств, зарегистрированных за учреждением. Основание: глава 28 Налогового кодекса РФ, региональный Закон «О транспортном налоге».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ab/>
        <w:t xml:space="preserve"> 16. Для целей настоящего пункта в налогооблагаемую базу включаются транспортные средства, находящиеся на ремонте и подлежащие списанию, до момента снятия транспортного средства с учета или исключения из госреестра в соответствии с законодательством России.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 xml:space="preserve"> 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>Налог на имущество организаций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 xml:space="preserve"> 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ab/>
        <w:t>17. Учреждение является плательщиком налога на имущество. Перечень объектов налогообложения определять в соответствии со статьей 374 Налогового кодекса РФ. На учреждения распространяются льготы в соответствии с законодательством региона. Основание: глава 30 Налогового кодекса РФ.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 xml:space="preserve"> </w:t>
      </w:r>
      <w:r w:rsidRPr="00B649C3">
        <w:rPr>
          <w:rFonts w:ascii="Times New Roman" w:hAnsi="Times New Roman"/>
          <w:sz w:val="28"/>
          <w:szCs w:val="28"/>
        </w:rPr>
        <w:tab/>
        <w:t>18. Налоговая ставка применяется в соответствии с законодательством региона. Основание: статья 372 Налогового кодекса РФ.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 xml:space="preserve"> </w:t>
      </w:r>
      <w:r w:rsidRPr="00B649C3">
        <w:rPr>
          <w:rFonts w:ascii="Times New Roman" w:hAnsi="Times New Roman"/>
          <w:sz w:val="28"/>
          <w:szCs w:val="28"/>
        </w:rPr>
        <w:tab/>
        <w:t>19. Налоги и авансовые платежи по налогу на имущество уплачиваются в региональный бюджет по местонахождению учреждения в порядке и сроки, предусмотренные статьей 383 Налогового кодекса РФ.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 xml:space="preserve"> 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>Земельный налог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 xml:space="preserve"> 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ab/>
        <w:t>20. Налогооблагаемая база по земельному налогу формируется согласно статьям 389, 390, 391 Налогового кодекса РФ. Основание: глава 31 Налогового кодекса РФ.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 xml:space="preserve"> </w:t>
      </w:r>
      <w:r w:rsidRPr="00B649C3">
        <w:rPr>
          <w:rFonts w:ascii="Times New Roman" w:hAnsi="Times New Roman"/>
          <w:sz w:val="28"/>
          <w:szCs w:val="28"/>
        </w:rPr>
        <w:tab/>
        <w:t>21. Налоговая ставка применяется в соответствии с местным законодательством согласно статье 394 Налогового кодекса РФ.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 xml:space="preserve"> </w:t>
      </w:r>
      <w:r w:rsidRPr="00B649C3">
        <w:rPr>
          <w:rFonts w:ascii="Times New Roman" w:hAnsi="Times New Roman"/>
          <w:sz w:val="28"/>
          <w:szCs w:val="28"/>
        </w:rPr>
        <w:tab/>
        <w:t>22. Налоги и авансовые платежи по земельному налогу уплачиваются в местный бюджет по местонахождению учреждения и его структурных подразделений в порядке и сроки, предусмотренные статьей 396 Налогового кодекса РФ.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 xml:space="preserve">  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 xml:space="preserve"> 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 xml:space="preserve"> 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 xml:space="preserve"> 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  <w:r w:rsidRPr="00B649C3">
        <w:rPr>
          <w:rFonts w:ascii="Times New Roman" w:hAnsi="Times New Roman"/>
          <w:sz w:val="28"/>
          <w:szCs w:val="28"/>
        </w:rPr>
        <w:t>Главный бухгалтер                                         _____________                                    Ю.А. Малий</w:t>
      </w:r>
    </w:p>
    <w:p w:rsidR="00B649C3" w:rsidRPr="00B649C3" w:rsidRDefault="00B649C3" w:rsidP="00B649C3">
      <w:pPr>
        <w:pStyle w:val="a5"/>
        <w:rPr>
          <w:rFonts w:ascii="Times New Roman" w:hAnsi="Times New Roman"/>
          <w:sz w:val="28"/>
          <w:szCs w:val="28"/>
        </w:rPr>
      </w:pPr>
    </w:p>
    <w:sectPr w:rsidR="00B649C3" w:rsidRPr="00B649C3" w:rsidSect="0048466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ADB" w:rsidRDefault="00030ADB" w:rsidP="00D5368A">
      <w:r>
        <w:separator/>
      </w:r>
    </w:p>
  </w:endnote>
  <w:endnote w:type="continuationSeparator" w:id="0">
    <w:p w:rsidR="00030ADB" w:rsidRDefault="00030ADB" w:rsidP="00D5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ADB" w:rsidRDefault="00030ADB" w:rsidP="00D5368A">
      <w:r>
        <w:separator/>
      </w:r>
    </w:p>
  </w:footnote>
  <w:footnote w:type="continuationSeparator" w:id="0">
    <w:p w:rsidR="00030ADB" w:rsidRDefault="00030ADB" w:rsidP="00D53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F5C6F"/>
    <w:multiLevelType w:val="hybridMultilevel"/>
    <w:tmpl w:val="683C5022"/>
    <w:lvl w:ilvl="0" w:tplc="5BA07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E95"/>
    <w:rsid w:val="00005C7F"/>
    <w:rsid w:val="00010960"/>
    <w:rsid w:val="0002486D"/>
    <w:rsid w:val="00030ADB"/>
    <w:rsid w:val="00042E28"/>
    <w:rsid w:val="00057E95"/>
    <w:rsid w:val="0008053D"/>
    <w:rsid w:val="000952FE"/>
    <w:rsid w:val="000A0840"/>
    <w:rsid w:val="000B1F11"/>
    <w:rsid w:val="001007DD"/>
    <w:rsid w:val="001225B4"/>
    <w:rsid w:val="00156486"/>
    <w:rsid w:val="00165C23"/>
    <w:rsid w:val="00167932"/>
    <w:rsid w:val="00171AF7"/>
    <w:rsid w:val="00196C4E"/>
    <w:rsid w:val="001A34E4"/>
    <w:rsid w:val="001A6B98"/>
    <w:rsid w:val="001F2DF1"/>
    <w:rsid w:val="001F533F"/>
    <w:rsid w:val="002105BA"/>
    <w:rsid w:val="0021248B"/>
    <w:rsid w:val="0022532A"/>
    <w:rsid w:val="0023113A"/>
    <w:rsid w:val="002A7B84"/>
    <w:rsid w:val="002D38AE"/>
    <w:rsid w:val="002E40EF"/>
    <w:rsid w:val="002F51C9"/>
    <w:rsid w:val="0033736B"/>
    <w:rsid w:val="00337CA8"/>
    <w:rsid w:val="0034570C"/>
    <w:rsid w:val="00352817"/>
    <w:rsid w:val="0035643F"/>
    <w:rsid w:val="0037664D"/>
    <w:rsid w:val="003B710F"/>
    <w:rsid w:val="003F7363"/>
    <w:rsid w:val="00410255"/>
    <w:rsid w:val="00426A03"/>
    <w:rsid w:val="00434FA1"/>
    <w:rsid w:val="004425D1"/>
    <w:rsid w:val="00454CF7"/>
    <w:rsid w:val="0048466C"/>
    <w:rsid w:val="004B7813"/>
    <w:rsid w:val="0053304D"/>
    <w:rsid w:val="00534176"/>
    <w:rsid w:val="00535B69"/>
    <w:rsid w:val="005971EC"/>
    <w:rsid w:val="005B5D82"/>
    <w:rsid w:val="005C1A0E"/>
    <w:rsid w:val="005E2047"/>
    <w:rsid w:val="005F7E6D"/>
    <w:rsid w:val="006B54AA"/>
    <w:rsid w:val="006C5393"/>
    <w:rsid w:val="006F2B62"/>
    <w:rsid w:val="006F6B5E"/>
    <w:rsid w:val="007263C6"/>
    <w:rsid w:val="00751E2C"/>
    <w:rsid w:val="00755DB2"/>
    <w:rsid w:val="00790D33"/>
    <w:rsid w:val="007C4848"/>
    <w:rsid w:val="007C56E0"/>
    <w:rsid w:val="0081026C"/>
    <w:rsid w:val="0081632B"/>
    <w:rsid w:val="008245C9"/>
    <w:rsid w:val="00825C26"/>
    <w:rsid w:val="00831CBF"/>
    <w:rsid w:val="00841B3C"/>
    <w:rsid w:val="008576B1"/>
    <w:rsid w:val="0088156A"/>
    <w:rsid w:val="00892E10"/>
    <w:rsid w:val="008A7455"/>
    <w:rsid w:val="008B3D13"/>
    <w:rsid w:val="008B46E6"/>
    <w:rsid w:val="008D22EE"/>
    <w:rsid w:val="008D7DAB"/>
    <w:rsid w:val="008E10BF"/>
    <w:rsid w:val="008E356D"/>
    <w:rsid w:val="00936CFB"/>
    <w:rsid w:val="00A00D9D"/>
    <w:rsid w:val="00A060CF"/>
    <w:rsid w:val="00A30041"/>
    <w:rsid w:val="00A30E1A"/>
    <w:rsid w:val="00A33A73"/>
    <w:rsid w:val="00A55B5A"/>
    <w:rsid w:val="00A755F5"/>
    <w:rsid w:val="00AC7FAC"/>
    <w:rsid w:val="00AF2A35"/>
    <w:rsid w:val="00B108BC"/>
    <w:rsid w:val="00B11064"/>
    <w:rsid w:val="00B2325F"/>
    <w:rsid w:val="00B340E3"/>
    <w:rsid w:val="00B37B89"/>
    <w:rsid w:val="00B649C3"/>
    <w:rsid w:val="00B801BE"/>
    <w:rsid w:val="00B92511"/>
    <w:rsid w:val="00BC77FA"/>
    <w:rsid w:val="00BD16FB"/>
    <w:rsid w:val="00C05911"/>
    <w:rsid w:val="00C176AD"/>
    <w:rsid w:val="00C63C04"/>
    <w:rsid w:val="00C7150C"/>
    <w:rsid w:val="00C92F43"/>
    <w:rsid w:val="00D43BFE"/>
    <w:rsid w:val="00D5368A"/>
    <w:rsid w:val="00D732DB"/>
    <w:rsid w:val="00D804C4"/>
    <w:rsid w:val="00D8498B"/>
    <w:rsid w:val="00D92B63"/>
    <w:rsid w:val="00DA2EF7"/>
    <w:rsid w:val="00E33E24"/>
    <w:rsid w:val="00E534B2"/>
    <w:rsid w:val="00EB364F"/>
    <w:rsid w:val="00ED10B7"/>
    <w:rsid w:val="00F10FA1"/>
    <w:rsid w:val="00F60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14E2"/>
  <w15:docId w15:val="{277A4A83-4D0A-4E60-853F-D999FEAB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1F1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33A7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33A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33A7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A300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00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B1F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36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36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Title"/>
    <w:basedOn w:val="a"/>
    <w:link w:val="ad"/>
    <w:qFormat/>
    <w:rsid w:val="00936CFB"/>
    <w:pPr>
      <w:jc w:val="center"/>
    </w:pPr>
    <w:rPr>
      <w:b/>
      <w:sz w:val="36"/>
      <w:szCs w:val="24"/>
    </w:rPr>
  </w:style>
  <w:style w:type="character" w:customStyle="1" w:styleId="ad">
    <w:name w:val="Заголовок Знак"/>
    <w:basedOn w:val="a0"/>
    <w:link w:val="ac"/>
    <w:rsid w:val="00936CF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e">
    <w:name w:val="List Paragraph"/>
    <w:basedOn w:val="a"/>
    <w:uiPriority w:val="34"/>
    <w:qFormat/>
    <w:rsid w:val="00B37B89"/>
    <w:pPr>
      <w:ind w:left="720"/>
      <w:contextualSpacing/>
    </w:pPr>
  </w:style>
  <w:style w:type="table" w:styleId="af">
    <w:name w:val="Table Grid"/>
    <w:basedOn w:val="a1"/>
    <w:uiPriority w:val="39"/>
    <w:rsid w:val="00B3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A060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0121D-CAFD-4702-B224-520B871D0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RePack by Diakov</cp:lastModifiedBy>
  <cp:revision>34</cp:revision>
  <cp:lastPrinted>2019-12-30T10:42:00Z</cp:lastPrinted>
  <dcterms:created xsi:type="dcterms:W3CDTF">2017-01-27T09:05:00Z</dcterms:created>
  <dcterms:modified xsi:type="dcterms:W3CDTF">2019-12-30T10:47:00Z</dcterms:modified>
</cp:coreProperties>
</file>